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d24a2f325fe5e960efdae3b6b7dc42f11898d39"/>
    <w:p>
      <w:pPr>
        <w:pStyle w:val="Heading1"/>
      </w:pPr>
      <w:r>
        <w:t xml:space="preserve">Thermoregulation sets how strongly climate filters vertebrate assemblages, and reserves leave a directional functional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br/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Title 15 words | Abstract 198 | Main text 4,288 (Introduction 1,243, Results 1,782, Discussion 1,263) | Methods 2,398 | Display items 8 | Supplementary Figures 25 | Supplementary Tables 28 | References 100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usually collapses many traits into one composite axis</w:t>
      </w:r>
      <w:r>
        <w:t xml:space="preserve"> </w:t>
      </w:r>
      <w:r>
        <w:t xml:space="preserve">and then asks which environmental gradient explains it. Using 2,837 terrestrial</w:t>
      </w:r>
      <w:r>
        <w:t xml:space="preserve"> </w:t>
      </w:r>
      <w:r>
        <w:t xml:space="preserve">vertebrate species across 3,782 50-km cells of China, we show that both steps</w:t>
      </w:r>
      <w:r>
        <w:t xml:space="preserve"> </w:t>
      </w:r>
      <w:r>
        <w:t xml:space="preserve">discard information that conservation planning needs. Three functional axes</w:t>
      </w:r>
      <w:r>
        <w:t xml:space="preserve"> </w:t>
      </w:r>
      <w:r>
        <w:t xml:space="preserve">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pace of life and niche breadth — are</w:t>
      </w:r>
      <w:r>
        <w:t xml:space="preserve"> </w:t>
      </w:r>
      <w:r>
        <w:t xml:space="preserve">near-independent within every class (|</w:t>
      </w:r>
      <w:r>
        <w:rPr>
          <w:i/>
          <w:iCs/>
        </w:rPr>
        <w:t xml:space="preserve">r</w:t>
      </w:r>
      <w:r>
        <w:t xml:space="preserve">| ≤ 0.30), and combining traits into a</w:t>
      </w:r>
      <w:r>
        <w:t xml:space="preserve"> </w:t>
      </w:r>
      <w:r>
        <w:t xml:space="preserve">composite weakens the environmental signal in six of eight comparisons. Climate</w:t>
      </w:r>
      <w:r>
        <w:t xml:space="preserve"> </w:t>
      </w:r>
      <w:r>
        <w:t xml:space="preserve">dominates trait composition in all four classes, but thermoregulation sets its</w:t>
      </w:r>
      <w:r>
        <w:t xml:space="preserve"> </w:t>
      </w:r>
      <w:r>
        <w:t xml:space="preserve">strength: ambient energy affects ectotherm assemblages about 2.3 times more than</w:t>
      </w:r>
      <w:r>
        <w:t xml:space="preserve"> </w:t>
      </w:r>
      <w:r>
        <w:t xml:space="preserve">endotherm assemblages (1.98–2.63 across specifications). Because ectotherms also</w:t>
      </w:r>
      <w:r>
        <w:t xml:space="preserve"> </w:t>
      </w:r>
      <w:r>
        <w:t xml:space="preserve">respond more strongly to five of six predictors, we report thermal buffering as</w:t>
      </w:r>
      <w:r>
        <w:t xml:space="preserve"> </w:t>
      </w:r>
      <w:r>
        <w:t xml:space="preserve">partially supported; the ectotherm excess nonetheless scales with a predictor’s</w:t>
      </w:r>
      <w:r>
        <w:t xml:space="preserve"> </w:t>
      </w:r>
      <w:r>
        <w:t xml:space="preserve">thermal content (Spearman ρ = 0.74). Under the fourth-corner max test, naive</w:t>
      </w:r>
      <w:r>
        <w:t xml:space="preserve"> </w:t>
      </w:r>
      <w:r>
        <w:t xml:space="preserve">regression inflates significance 1.27–1.72-fold. China’s nature reserves cover</w:t>
      </w:r>
      <w:r>
        <w:t xml:space="preserve"> </w:t>
      </w:r>
      <w:r>
        <w:t xml:space="preserve">10.36% of the land but bring only 2.9% of species to the Kunming–Montreal</w:t>
      </w:r>
      <w:r>
        <w:t xml:space="preserve"> </w:t>
      </w:r>
      <w:r>
        <w:t xml:space="preserve">30%-of-range target, against 50.7% for an optimal layout of the same area. The</w:t>
      </w:r>
      <w:r>
        <w:t xml:space="preserve"> </w:t>
      </w:r>
      <w:r>
        <w:t xml:space="preserve">shortfall has a direction: large mammals are the best-protected trait end and</w:t>
      </w:r>
      <w:r>
        <w:t xml:space="preserve"> </w:t>
      </w:r>
      <w:r>
        <w:t xml:space="preserve">large reptiles the worst. We map the cells that close these gaps.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(Supplementary Fig. 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1).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 (Fig. 1a).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bookmarkEnd w:id="10"/>
    <w:bookmarkStart w:id="20" w:name="results"/>
    <w:p>
      <w:pPr>
        <w:pStyle w:val="Heading2"/>
      </w:pPr>
      <w:r>
        <w:t xml:space="preserve">Results</w:t>
      </w:r>
    </w:p>
    <w:bookmarkStart w:id="11" w:name="X295f7430d2ea4ddf6b6e0fa3d17f62b1dd5b66f"/>
    <w:p>
      <w:pPr>
        <w:pStyle w:val="Heading3"/>
      </w:pPr>
      <w:r>
        <w:t xml:space="preserve">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2). Their geographies do not coincide (Fig. 3),</w:t>
      </w:r>
      <w:r>
        <w:t xml:space="preserve"> </w:t>
      </w:r>
      <w:r>
        <w:t xml:space="preserve">the trait most strongly filtered in each cell is mapped in Supplementary Fig. 2, and their trait–environment coefficient patterns differ (Fig. 4a). H1 is not</w:t>
      </w:r>
      <w:r>
        <w:t xml:space="preserve"> </w:t>
      </w:r>
      <w:r>
        <w:t xml:space="preserve">refuted.</w:t>
      </w:r>
    </w:p>
    <w:bookmarkEnd w:id="11"/>
    <w:bookmarkStart w:id="12" w:name="X939f7929db348222c09812972da76fe21285ab1"/>
    <w:p>
      <w:pPr>
        <w:pStyle w:val="Heading3"/>
      </w:pPr>
      <w:r>
        <w:t xml:space="preserve">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3).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12"/>
    <w:bookmarkStart w:id="13" w:name="X7fa2776d4a5485ea5d498b89cbc90379ccd1347"/>
    <w:p>
      <w:pPr>
        <w:pStyle w:val="Heading3"/>
      </w:pPr>
      <w:r>
        <w:t xml:space="preserve">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4). Reptiles are the exception in both</w:t>
      </w:r>
      <w:r>
        <w:t xml:space="preserve"> </w:t>
      </w:r>
      <w:r>
        <w:t xml:space="preserve">directions: the lowest climate share and the highest human share (trait</w:t>
      </w:r>
      <w:r>
        <w:t xml:space="preserve"> </w:t>
      </w:r>
      <w:r>
        <w:t xml:space="preserve">responses along the human-footprint gradient in Supplementary Fig. 3).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4a; Supplementary Table 5).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13"/>
    <w:bookmarkStart w:id="14" w:name="X4cc65d108db81e63052a6875c9ad0e210d10d4d"/>
    <w:p>
      <w:pPr>
        <w:pStyle w:val="Heading3"/>
      </w:pPr>
      <w:r>
        <w:t xml:space="preserve">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(Supplementary Fig. 4; Supplementary Table 6).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(Fig. 5a,b)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(Supplementary Fig. 5; Supplementary Table 7).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The</w:t>
      </w:r>
      <w:r>
        <w:t xml:space="preserve"> </w:t>
      </w:r>
      <w:r>
        <w:t xml:space="preserve">contrast is, by contrast, insensitive to how body size is measured: substituting</w:t>
      </w:r>
      <w:r>
        <w:t xml:space="preserve"> </w:t>
      </w:r>
      <w:r>
        <w:t xml:space="preserve">length for mass in amphibians — the one class where mass is mostly inferred —</w:t>
      </w:r>
      <w:r>
        <w:t xml:space="preserve"> </w:t>
      </w:r>
      <w:r>
        <w:t xml:space="preserve">moves the thermal ratio from 1.79 to 1.77 and the overall ratio from 1.72 to</w:t>
      </w:r>
      <w:r>
        <w:t xml:space="preserve"> </w:t>
      </w:r>
      <w:r>
        <w:t xml:space="preserve">1.67, with the Wilcoxon test significant either way (Supplementary Table 8).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corroboration, threshold-sensitive in the</w:t>
      </w:r>
      <w:r>
        <w:t xml:space="preserve"> </w:t>
      </w:r>
      <w:r>
        <w:t xml:space="preserve">number of families admitted but not in how their traits are measured.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contrasting elevational with latitudinal</w:t>
      </w:r>
      <w:r>
        <w:t xml:space="preserve"> </w:t>
      </w:r>
      <w:r>
        <w:t xml:space="preserve">temperature gradients, which differ in how much non-thermal variation</w:t>
      </w:r>
      <w:r>
        <w:t xml:space="preserve"> </w:t>
      </w:r>
      <w:r>
        <w:t xml:space="preserve">accompanies a given change in temperature — is beyond the present data.</w:t>
      </w:r>
      <w:r>
        <w:t xml:space="preserve"> </w:t>
      </w:r>
      <w:r>
        <w:t xml:space="preserve">Matching the two on habitat heterogeneity would not achieve this, because</w:t>
      </w:r>
      <w:r>
        <w:t xml:space="preserve"> </w:t>
      </w:r>
      <w:r>
        <w:t xml:space="preserve">heterogeneity legitimately changes along elevation; it has to be a covariate.</w:t>
      </w:r>
    </w:p>
    <w:bookmarkEnd w:id="14"/>
    <w:bookmarkStart w:id="15" w:name="X1f57fcc27f2e128e1113f97560a946a2b0694bc"/>
    <w:p>
      <w:pPr>
        <w:pStyle w:val="Heading3"/>
      </w:pPr>
      <w:r>
        <w:t xml:space="preserve">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6b; Supplementary Table 9).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6; Supplementary Table 10). Under SAR, 49.1% of the 216 coefficients are</w:t>
      </w:r>
      <w:r>
        <w:t xml:space="preserve"> </w:t>
      </w:r>
      <w:r>
        <w:t xml:space="preserve">significant after BH correction.</w:t>
      </w:r>
    </w:p>
    <w:bookmarkEnd w:id="15"/>
    <w:bookmarkStart w:id="16" w:name="X4b9624569c3bb29efb7a0fa7506d9ad6d329d29"/>
    <w:p>
      <w:pPr>
        <w:pStyle w:val="Heading3"/>
      </w:pPr>
      <w:r>
        <w:t xml:space="preserve">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(Supplementary Fig. 6; Supplementary Tables 11–12).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16"/>
    <w:bookmarkStart w:id="17" w:name="no-class-substitutes-for-another"/>
    <w:p>
      <w:pPr>
        <w:pStyle w:val="Heading3"/>
      </w:pPr>
      <w:r>
        <w:t xml:space="preserve">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 Table 13); cross-class correlation of functional</w:t>
      </w:r>
      <w:r>
        <w:t xml:space="preserve"> </w:t>
      </w:r>
      <w:r>
        <w:t xml:space="preserve">dispersion is likewise highest between the two endotherm classes (Supplementary Fig. 7).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(Supplementary Fig. 8; Supplementary Table 14).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birds, and 0.160 for amphibians against reptiles</w:t>
      </w:r>
      <w:r>
        <w:t xml:space="preserve"> </w:t>
      </w:r>
      <w:r>
        <w:t xml:space="preserve">(Supplementary Fig. 9; Supplementary Table 15). The ordering follows thermoregulatory mode: amphibian</w:t>
      </w:r>
      <w:r>
        <w:t xml:space="preserve"> </w:t>
      </w:r>
      <w:r>
        <w:t xml:space="preserve">gaps overlap the other ectotherm class about twice as much as they overlap</w:t>
      </w:r>
      <w:r>
        <w:t xml:space="preserve"> </w:t>
      </w:r>
      <w:r>
        <w:t xml:space="preserve">either endotherm class — but even that is half the bird–mammal value. Looking</w:t>
      </w:r>
      <w:r>
        <w:t xml:space="preserve"> </w:t>
      </w:r>
      <w:r>
        <w:t xml:space="preserve">at birds or mammals 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16).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17"/>
    <w:bookmarkStart w:id="18" w:name="X73d1057187d884d0eac2418a3b8303ca4446e32"/>
    <w:p>
      <w:pPr>
        <w:pStyle w:val="Heading3"/>
      </w:pPr>
      <w:r>
        <w:t xml:space="preserve">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17).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18).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19).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(−0.308,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18"/>
    <w:bookmarkStart w:id="19" w:name="X43ddd162a38ebc2e3c33125fcdc8819a5d14213"/>
    <w:p>
      <w:pPr>
        <w:pStyle w:val="Heading3"/>
      </w:pPr>
      <w:r>
        <w:t xml:space="preserve">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(Supplementary Fig. 10; Supplementary Table 20).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21).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bookmarkEnd w:id="19"/>
    <w:bookmarkEnd w:id="20"/>
    <w:bookmarkStart w:id="2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21" w:name="X0e2dbbff725774af4afbe885c2a7e396a3fd4b0"/>
    <w:p>
      <w:pPr>
        <w:pStyle w:val="Heading3"/>
      </w:pPr>
      <w:r>
        <w:t xml:space="preserve">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21"/>
    <w:bookmarkStart w:id="22" w:name="X41488f553e9590a1b34606b069cb06a478d5e87"/>
    <w:p>
      <w:pPr>
        <w:pStyle w:val="Heading3"/>
      </w:pPr>
      <w:r>
        <w:t xml:space="preserve">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gradients, contrasted by how much non-thermal variation accompanies</w:t>
      </w:r>
      <w:r>
        <w:t xml:space="preserve"> </w:t>
      </w:r>
      <w:r>
        <w:t xml:space="preserve">each — is the experiment our result sets up. Local coupling estimates, which</w:t>
      </w:r>
      <w:r>
        <w:t xml:space="preserve"> </w:t>
      </w:r>
      <w:r>
        <w:t xml:space="preserve">could in principle map where the asymmetry is strongest, are attenuated in</w:t>
      </w:r>
      <w:r>
        <w:t xml:space="preserve"> </w:t>
      </w:r>
      <w:r>
        <w:t xml:space="preserve">species-poor cells and are reported only as a diagnostic (Supplementary Fig. 11).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22"/>
    <w:bookmarkStart w:id="23" w:name="Xc49e37d63831180308cfda46f0db1847147460d"/>
    <w:p>
      <w:pPr>
        <w:pStyle w:val="Heading3"/>
      </w:pPr>
      <w:r>
        <w:t xml:space="preserve">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23"/>
    <w:bookmarkStart w:id="24" w:name="Xff1ca52bf0b7a532fa6b6740ce7ce9fd32985f5"/>
    <w:p>
      <w:pPr>
        <w:pStyle w:val="Heading3"/>
      </w:pPr>
      <w:r>
        <w:t xml:space="preserve">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(−0.308)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those of birds and mammals by 0.074 and 0.086, and those of reptiles by 0.160 —</w:t>
      </w:r>
      <w:r>
        <w:t xml:space="preserve"> </w:t>
      </w:r>
      <w:r>
        <w:t xml:space="preserve">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24"/>
    <w:bookmarkStart w:id="25" w:name="limitations"/>
    <w:p>
      <w:pPr>
        <w:pStyle w:val="Heading3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 Table 22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(see Results) and</w:t>
      </w:r>
      <w:r>
        <w:t xml:space="preserve"> </w:t>
      </w:r>
      <w:r>
        <w:t xml:space="preserve">should not be cited independently of the grid-cell result.</w:t>
      </w:r>
    </w:p>
    <w:bookmarkEnd w:id="25"/>
    <w:bookmarkStart w:id="26" w:name="conclusions-and-outlook"/>
    <w:p>
      <w:pPr>
        <w:pStyle w:val="Heading3"/>
      </w:pPr>
      <w:r>
        <w:t xml:space="preserve">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bookmarkEnd w:id="26"/>
    <w:bookmarkEnd w:id="27"/>
    <w:bookmarkStart w:id="42" w:name="methods"/>
    <w:p>
      <w:pPr>
        <w:pStyle w:val="Heading2"/>
      </w:pPr>
      <w:r>
        <w:t xml:space="preserve">Methods</w:t>
      </w:r>
    </w:p>
    <w:bookmarkStart w:id="28" w:name="study-area-and-analysis-units"/>
    <w:p>
      <w:pPr>
        <w:pStyle w:val="Heading3"/>
      </w:pPr>
      <w:r>
        <w:t xml:space="preserve">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28"/>
    <w:bookmarkStart w:id="29" w:name="X55a6c65e19c842f55f3e77505dd617541341a6d"/>
    <w:p>
      <w:pPr>
        <w:pStyle w:val="Heading3"/>
      </w:pPr>
      <w:r>
        <w:t xml:space="preserve">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species; Fig. 1b–f).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Tables 23–24.</w:t>
      </w:r>
    </w:p>
    <w:p>
      <w:pPr>
        <w:pStyle w:val="BodyText"/>
      </w:pPr>
      <w:r>
        <w:t xml:space="preserve">Assemblage moments entering the driver models and trait maps were restricted to</w:t>
      </w:r>
      <w:r>
        <w:t xml:space="preserve"> </w:t>
      </w:r>
      <w:r>
        <w:t xml:space="preserve">cells holding ≥5 species of a class; functional-dispersion metrics, which need</w:t>
      </w:r>
      <w:r>
        <w:t xml:space="preserve"> </w:t>
      </w:r>
      <w:r>
        <w:t xml:space="preserve">only two, were computed wherever a class had at least two species.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(Supplementary Figs 12–13),</w:t>
      </w:r>
      <w:r>
        <w:t xml:space="preserve"> </w:t>
      </w:r>
      <w:r>
        <w:t xml:space="preserve">where conclusions hold in direction.</w:t>
      </w:r>
    </w:p>
    <w:bookmarkEnd w:id="29"/>
    <w:bookmarkStart w:id="30" w:name="X0b34d7077952a05fabf4da100e189fbc3b62d48"/>
    <w:p>
      <w:pPr>
        <w:pStyle w:val="Heading3"/>
      </w:pPr>
      <w:r>
        <w:t xml:space="preserve">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length for amphibians, body mass</w:t>
      </w:r>
      <w:r>
        <w:t xml:space="preserve"> </w:t>
      </w:r>
      <w:r>
        <w:t xml:space="preserve">for birds, mammals and reptiles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Reptile body mass, by contrast, is only 0.2% inferred</w:t>
      </w:r>
      <w:r>
        <w:t xml:space="preserve"> </w:t>
      </w:r>
      <w:r>
        <w:t xml:space="preserve">(Supplementary Fig. 14), so mass is retained there.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22).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0%). Age at maturity is observed for 7.1% of</w:t>
      </w:r>
      <w:r>
        <w:t xml:space="preserve"> </w:t>
      </w:r>
      <w:r>
        <w:t xml:space="preserve">amphibians and for no reptile in the dataset; longevity for 23.5% of reptiles</w:t>
      </w:r>
      <w:r>
        <w:t xml:space="preserve"> </w:t>
      </w:r>
      <w:r>
        <w:t xml:space="preserve">and 8.4% of amphibians.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Sex-specific lengths in the Chinese amphibian compilation are mostly written</w:t>
      </w:r>
      <w:r>
        <w:t xml:space="preserve"> </w:t>
      </w:r>
      <w:r>
        <w:t xml:space="preserve">as ranges (</w:t>
      </w:r>
      <w:r>
        <w:t xml:space="preserve">“350.0-417.0”</w:t>
      </w:r>
      <w:r>
        <w:t xml:space="preserve">). Parsing them to interval midpoints rather than</w:t>
      </w:r>
      <w:r>
        <w:t xml:space="preserve"> </w:t>
      </w:r>
      <w:r>
        <w:t xml:space="preserve">coercing them directly raised usable male–female pairs from 75 to 472 species;</w:t>
      </w:r>
      <w:r>
        <w:t xml:space="preserve"> </w:t>
      </w:r>
      <w:r>
        <w:t xml:space="preserve">stripping non-numeric characters instead, as is often done, would have</w:t>
      </w:r>
      <w:r>
        <w:t xml:space="preserve"> </w:t>
      </w:r>
      <w:r>
        <w:t xml:space="preserve">concatenated</w:t>
      </w:r>
      <w:r>
        <w:t xml:space="preserve"> </w:t>
      </w:r>
      <w:r>
        <w:t xml:space="preserve">“145-191”</w:t>
      </w:r>
      <w:r>
        <w:t xml:space="preserve"> </w:t>
      </w:r>
      <w:r>
        <w:t xml:space="preserve">into 145191 mm. The resulting sexual-size-dimorphism</w:t>
      </w:r>
      <w:r>
        <w:t xml:space="preserve"> </w:t>
      </w:r>
      <w:r>
        <w:t xml:space="preserve">geography is reported in Supplementary Fig. 15.</w:t>
      </w:r>
    </w:p>
    <w:bookmarkEnd w:id="30"/>
    <w:bookmarkStart w:id="31" w:name="imputation-and-its-limits"/>
    <w:p>
      <w:pPr>
        <w:pStyle w:val="Heading3"/>
      </w:pPr>
      <w:r>
        <w:t xml:space="preserve">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31"/>
    <w:bookmarkStart w:id="32" w:name="three-a-priori-functional-axes"/>
    <w:p>
      <w:pPr>
        <w:pStyle w:val="Heading3"/>
      </w:pPr>
      <w:r>
        <w:t xml:space="preserve">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(Supplementary Fig. 1).</w:t>
      </w:r>
    </w:p>
    <w:bookmarkEnd w:id="32"/>
    <w:bookmarkStart w:id="33" w:name="X07a73f0d79d12c6683d2dc341c6c13cefc08ce0"/>
    <w:p>
      <w:pPr>
        <w:pStyle w:val="Heading3"/>
      </w:pPr>
      <w:r>
        <w:t xml:space="preserve">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 25).</w:t>
      </w:r>
    </w:p>
    <w:bookmarkEnd w:id="33"/>
    <w:bookmarkStart w:id="34" w:name="assemblage-metrics-and-null-models"/>
    <w:p>
      <w:pPr>
        <w:pStyle w:val="Heading3"/>
      </w:pPr>
      <w:r>
        <w:t xml:space="preserve">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 (the class trait spaces are shown in Supplementary Fig. 16).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(Supplementary Fig. 17). The resulting standardised effects are mapped in</w:t>
      </w:r>
      <w:r>
        <w:t xml:space="preserve"> </w:t>
      </w:r>
      <w:r>
        <w:t xml:space="preserve">Supplementary Fig. 18, and the geography of assemblage trait variance in Supplementary Fig. 19.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34"/>
    <w:bookmarkStart w:id="35" w:name="driver-models"/>
    <w:p>
      <w:pPr>
        <w:pStyle w:val="Heading3"/>
      </w:pPr>
      <w:r>
        <w:t xml:space="preserve">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was 0.65–0.89 across the 36 main models (Supplementary Fig. 20; Supplementary Table 26),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 The same</w:t>
      </w:r>
      <w:r>
        <w:t xml:space="preserve"> </w:t>
      </w:r>
      <w:r>
        <w:t xml:space="preserve">models fitted to all four moments of every trait give the full effect matrix in</w:t>
      </w:r>
      <w:r>
        <w:t xml:space="preserve"> </w:t>
      </w:r>
      <w:r>
        <w:t xml:space="preserve">Supplementary Fig. 21.</w:t>
      </w:r>
    </w:p>
    <w:bookmarkEnd w:id="35"/>
    <w:bookmarkStart w:id="36" w:name="Xe9c4bf189a7a737499011e5fcbd6b5c4b6c1f47"/>
    <w:p>
      <w:pPr>
        <w:pStyle w:val="Heading3"/>
      </w:pPr>
      <w:r>
        <w:t xml:space="preserve">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2018;</w:t>
      </w:r>
      <w:r>
        <w:t xml:space="preserve"> </w:t>
      </w:r>
      <w:r>
        <w:t xml:space="preserve">Supplementary Fig. 22).</w:t>
      </w:r>
    </w:p>
    <w:bookmarkEnd w:id="36"/>
    <w:bookmarkStart w:id="37" w:name="the-thermal-contrast-and-its-robustness"/>
    <w:p>
      <w:pPr>
        <w:pStyle w:val="Heading3"/>
      </w:pPr>
      <w:r>
        <w:t xml:space="preserve">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Family-specific SAR models regress each family’s assemblage metrics on five</w:t>
      </w:r>
      <w:r>
        <w:t xml:space="preserve"> </w:t>
      </w:r>
      <w:r>
        <w:t xml:space="preserve">composite environmental axes — the first principal components of the thermal,</w:t>
      </w:r>
      <w:r>
        <w:t xml:space="preserve"> </w:t>
      </w:r>
      <w:r>
        <w:t xml:space="preserve">water, productivity, habitat-structure and human-pressure variable groups</w:t>
      </w:r>
      <w:r>
        <w:t xml:space="preserve"> </w:t>
      </w:r>
      <w:r>
        <w:t xml:space="preserve">(Supplementary Fig. 23) — rather than on the six named predictors used at the</w:t>
      </w:r>
      <w:r>
        <w:t xml:space="preserve"> </w:t>
      </w:r>
      <w:r>
        <w:t xml:space="preserve">grid-cell level. This is why coupling was also re-operationalised on the named</w:t>
      </w:r>
      <w:r>
        <w:t xml:space="preserve"> </w:t>
      </w:r>
      <w:r>
        <w:t xml:space="preserve">thermal variables (below).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p>
      <w:pPr>
        <w:pStyle w:val="BodyText"/>
      </w:pPr>
      <w:r>
        <w:t xml:space="preserve">The family-level responses are drawn from the fixed six-trait core computed in</w:t>
      </w:r>
      <w:r>
        <w:t xml:space="preserve"> </w:t>
      </w:r>
      <w:r>
        <w:t xml:space="preserve">the community-metrics step, in which body size enters as body mass for every</w:t>
      </w:r>
      <w:r>
        <w:t xml:space="preserve"> </w:t>
      </w:r>
      <w:r>
        <w:t xml:space="preserve">class so that the cross-class contrast concerns a single named quantity.</w:t>
      </w:r>
      <w:r>
        <w:t xml:space="preserve"> </w:t>
      </w:r>
      <w:r>
        <w:t xml:space="preserve">Amphibian mass, however, is 74.7% derived allometrically from length</w:t>
      </w:r>
      <w:r>
        <w:t xml:space="preserve"> </w:t>
      </w:r>
      <w:r>
        <w:t xml:space="preserve">(Supplementary Fig. 14), and amphibian assemblage mass and length correlate only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0.76 (reptiles 0.87; birds 0.98; mammals 1.00), so the choice is not</w:t>
      </w:r>
      <w:r>
        <w:t xml:space="preserve"> </w:t>
      </w:r>
      <w:r>
        <w:t xml:space="preserve">cosmetic. We therefore re-ran the whole family-level pipeline with one size</w:t>
      </w:r>
      <w:r>
        <w:t xml:space="preserve"> </w:t>
      </w:r>
      <w:r>
        <w:t xml:space="preserve">measure per class — length for amphibians, matching the trait protocol used for</w:t>
      </w:r>
      <w:r>
        <w:t xml:space="preserve"> </w:t>
      </w:r>
      <w:r>
        <w:t xml:space="preserve">the functional axes and the grid-cell driver models — and report both</w:t>
      </w:r>
      <w:r>
        <w:t xml:space="preserve"> </w:t>
      </w:r>
      <w:r>
        <w:t xml:space="preserve">(Supplementary Table 8). Only the size response changes: the Gower distance</w:t>
      </w:r>
      <w:r>
        <w:t xml:space="preserve"> </w:t>
      </w:r>
      <w:r>
        <w:t xml:space="preserve">underlying functional dispersion is computed within family, so the measures it</w:t>
      </w:r>
      <w:r>
        <w:t xml:space="preserve"> </w:t>
      </w:r>
      <w:r>
        <w:t xml:space="preserve">contains affect all species of a family alike and do not enter the cross-class</w:t>
      </w:r>
      <w:r>
        <w:t xml:space="preserve"> </w:t>
      </w:r>
      <w:r>
        <w:t xml:space="preserve">comparison.</w:t>
      </w:r>
    </w:p>
    <w:bookmarkEnd w:id="37"/>
    <w:bookmarkStart w:id="38" w:name="robustness-to-metric-and-method"/>
    <w:p>
      <w:pPr>
        <w:pStyle w:val="Heading3"/>
      </w:pPr>
      <w:r>
        <w:t xml:space="preserve">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 (Supplementary Fig. 24), the thermal contrast</w:t>
      </w:r>
      <w:r>
        <w:t xml:space="preserve"> </w:t>
      </w:r>
      <w:r>
        <w:t xml:space="preserve">was re-run leaving out each class in turn, and assemblage standardised effects</w:t>
      </w:r>
      <w:r>
        <w:t xml:space="preserve"> </w:t>
      </w:r>
      <w:r>
        <w:t xml:space="preserve">were recomputed from species with fully observed core traits only (Supplementary Fig. 25).</w:t>
      </w:r>
    </w:p>
    <w:bookmarkEnd w:id="38"/>
    <w:bookmarkStart w:id="39" w:name="conservation-analyses"/>
    <w:p>
      <w:pPr>
        <w:pStyle w:val="Heading3"/>
      </w:pPr>
      <w:r>
        <w:t xml:space="preserve">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27).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39"/>
    <w:bookmarkStart w:id="40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(see Data availability).</w:t>
      </w:r>
    </w:p>
    <w:bookmarkEnd w:id="40"/>
    <w:bookmarkStart w:id="41" w:name="use-of-ai-tools"/>
    <w:p>
      <w:pPr>
        <w:pStyle w:val="Heading3"/>
      </w:pPr>
      <w:r>
        <w:t xml:space="preserve">Use of AI tools</w:t>
      </w:r>
    </w:p>
    <w:p>
      <w:pPr>
        <w:pStyle w:val="FirstParagraph"/>
      </w:pPr>
      <w:r>
        <w:t xml:space="preserve">[AUTHOR TO CONFIRM BEFORE SUBMISSION — see 05_statements/AI_use_disclosure.md. Nature Portfolio requires LLM use to be documented in the Methods.]</w:t>
      </w:r>
      <w:r>
        <w:t xml:space="preserve"> </w:t>
      </w:r>
      <w:r>
        <w:t xml:space="preserve">An AI assistant (Claude; Anthropic), including the Opus 5 and Opus 5.5 models accessed</w:t>
      </w:r>
      <w:r>
        <w:t xml:space="preserve"> </w:t>
      </w:r>
      <w:r>
        <w:t xml:space="preserve">through Claude Code between August and October 2026, was used under the author’s direction</w:t>
      </w:r>
      <w:r>
        <w:t xml:space="preserve"> </w:t>
      </w:r>
      <w:r>
        <w:t xml:space="preserve">to write and run the R analysis code and produce the figures from that code; to draft and</w:t>
      </w:r>
      <w:r>
        <w:t xml:space="preserve"> </w:t>
      </w:r>
      <w:r>
        <w:t xml:space="preserve">revise the manuscript text, figure legends and Supplementary Information; and to check</w:t>
      </w:r>
      <w:r>
        <w:t xml:space="preserve"> </w:t>
      </w:r>
      <w:r>
        <w:t xml:space="preserve">references against Crossref records and reported values against the result tables. No</w:t>
      </w:r>
      <w:r>
        <w:t xml:space="preserve"> </w:t>
      </w:r>
      <w:r>
        <w:t xml:space="preserve">generative image model was used: every figure is a plot of data rendered by R code.</w:t>
      </w:r>
      <w:r>
        <w:t xml:space="preserve"> </w:t>
      </w:r>
      <w:r>
        <w:t xml:space="preserve">[AUTHOR TO CONFIRM — the author’s own role, for example:</w:t>
      </w:r>
      <w:r>
        <w:t xml:space="preserve"> </w:t>
      </w:r>
      <w:r>
        <w:t xml:space="preserve">“The author defined the research</w:t>
      </w:r>
      <w:r>
        <w:t xml:space="preserve"> </w:t>
      </w:r>
      <w:r>
        <w:t xml:space="preserve">aims, selected the data sources and analyses, reviewed all code, results and text, and takes</w:t>
      </w:r>
      <w:r>
        <w:t xml:space="preserve"> </w:t>
      </w:r>
      <w:r>
        <w:t xml:space="preserve">full responsibility for the content of this paper.”</w:t>
      </w:r>
      <w:r>
        <w:t xml:space="preserve">]</w:t>
      </w:r>
      <w:r>
        <w:t xml:space="preserve"> </w:t>
      </w:r>
      <w:r>
        <w:t xml:space="preserve">[AUTHOR TO CONFIRM — any AI tools used outside this workflow, or</w:t>
      </w:r>
      <w:r>
        <w:t xml:space="preserve"> </w:t>
      </w:r>
      <w:r>
        <w:t xml:space="preserve">“None”</w:t>
      </w:r>
      <w:r>
        <w:t xml:space="preserve">.]</w:t>
      </w:r>
    </w:p>
    <w:bookmarkEnd w:id="41"/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aggregated data underlying every figure and table in this paper — per-cell assemblage</w:t>
      </w:r>
      <w:r>
        <w:t xml:space="preserve"> </w:t>
      </w:r>
      <w:r>
        <w:t xml:space="preserve">metrics, community-weighted trait moments, functional-axis scores, model coefficients and</w:t>
      </w:r>
      <w:r>
        <w:t xml:space="preserve"> </w:t>
      </w:r>
      <w:r>
        <w:t xml:space="preserve">all result tables — are available at</w:t>
      </w:r>
      <w:r>
        <w:t xml:space="preserve"> </w:t>
      </w:r>
      <w:r>
        <w:t xml:space="preserve">https://github.com/dingchenchen6/china-vertebrate-trait-biogeography and archived at</w:t>
      </w:r>
      <w:r>
        <w:t xml:space="preserve"> </w:t>
      </w:r>
      <w:r>
        <w:t xml:space="preserve">[Zenodo DOI to be minted from the GitHub release].</w:t>
      </w:r>
    </w:p>
    <w:p>
      <w:pPr>
        <w:pStyle w:val="BodyText"/>
      </w:pPr>
      <w:r>
        <w:t xml:space="preserve">Species range polygons were obtained from the IUCN Red List of Threatened Species</w:t>
      </w:r>
      <w:r>
        <w:t xml:space="preserve"> </w:t>
      </w:r>
      <w:r>
        <w:t xml:space="preserve">(https://www.iucnredlist.org/resources/spatial-data-download) and BirdLife International</w:t>
      </w:r>
      <w:r>
        <w:t xml:space="preserve"> </w:t>
      </w:r>
      <w:r>
        <w:t xml:space="preserve">(http://datazone.birdlife.org/species/requestdis).</w:t>
      </w:r>
      <w:r>
        <w:t xml:space="preserve"> </w:t>
      </w:r>
      <w:r>
        <w:rPr>
          <w:b/>
          <w:bCs/>
        </w:rPr>
        <w:t xml:space="preserve">Their licences prohibit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redistribution</w:t>
      </w:r>
      <w:r>
        <w:t xml:space="preserve">, so the species-by-cell occurrence matrices and the species-level trait</w:t>
      </w:r>
      <w:r>
        <w:t xml:space="preserve"> </w:t>
      </w:r>
      <w:r>
        <w:t xml:space="preserve">tables derived from them are not deposited. These are not available</w:t>
      </w:r>
      <w:r>
        <w:t xml:space="preserve"> </w:t>
      </w:r>
      <w:r>
        <w:t xml:space="preserve">“on request”</w:t>
      </w:r>
      <w:r>
        <w:t xml:space="preserve"> </w:t>
      </w:r>
      <w:r>
        <w:t xml:space="preserve">either:</w:t>
      </w:r>
      <w:r>
        <w:t xml:space="preserve"> </w:t>
      </w:r>
      <w:r>
        <w:t xml:space="preserve">they are obtainable by anyone, free of charge, directly from the two providers under their</w:t>
      </w:r>
      <w:r>
        <w:t xml:space="preserve"> </w:t>
      </w:r>
      <w:r>
        <w:t xml:space="preserve">standard terms, and the analysis scripts rebuild both files from those downloads without</w:t>
      </w:r>
      <w:r>
        <w:t xml:space="preserve"> </w:t>
      </w:r>
      <w:r>
        <w:t xml:space="preserve">manual intervention.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 </w:t>
      </w:r>
      <w:r>
        <w:t xml:space="preserve">in the repository lists every source file, its version, its</w:t>
      </w:r>
      <w:r>
        <w:t xml:space="preserve"> </w:t>
      </w:r>
      <w:r>
        <w:t xml:space="preserve">access date and the script that consumes it.</w:t>
      </w:r>
    </w:p>
    <w:p>
      <w:pPr>
        <w:pStyle w:val="BodyText"/>
      </w:pPr>
      <w:r>
        <w:t xml:space="preserve">Third-party data reused without modification: WorldClim 2.1 climate surfaces</w:t>
      </w:r>
      <w:r>
        <w:t xml:space="preserve"> </w:t>
      </w:r>
      <w:r>
        <w:t xml:space="preserve">(https://worldclim.org); MODIS MOD17A3 net primary productivity</w:t>
      </w:r>
      <w:r>
        <w:t xml:space="preserve"> </w:t>
      </w:r>
      <w:r>
        <w:t xml:space="preserve">(https://lpdaac.usgs.gov); ESA WorldCover land cover (https://esa-worldcover.org);</w:t>
      </w:r>
      <w:r>
        <w:t xml:space="preserve"> </w:t>
      </w:r>
      <w:r>
        <w:t xml:space="preserve">EarthEnv habitat heterogeneity (https://www.earthenv.org/texture); the Human Footprint</w:t>
      </w:r>
      <w:r>
        <w:t xml:space="preserve"> </w:t>
      </w:r>
      <w:r>
        <w:t xml:space="preserve">2000–2020; the World Database on Protected Areas (https://www.protectedplanet.net); and</w:t>
      </w:r>
      <w:r>
        <w:t xml:space="preserve"> </w:t>
      </w:r>
      <w:r>
        <w:t xml:space="preserve">the trait compilations AVONET, COMBINE, AmphiBIO, ReptTraits and TetrapodTraits, together</w:t>
      </w:r>
      <w:r>
        <w:t xml:space="preserve"> </w:t>
      </w:r>
      <w:r>
        <w:t xml:space="preserve">with the Chinese trait datasets cited in Methods. Each is cited in the reference list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.</w:t>
      </w:r>
    </w:p>
    <w:p>
      <w:pPr>
        <w:pStyle w:val="BodyText"/>
      </w:pPr>
      <w:r>
        <w:t xml:space="preserve">Source data for each main-text figure are provided in the repository under</w:t>
      </w:r>
      <w:r>
        <w:t xml:space="preserve"> </w:t>
      </w:r>
      <w:r>
        <w:rPr>
          <w:rStyle w:val="VerbatimChar"/>
        </w:rPr>
        <w:t xml:space="preserve">04_results/tables/</w:t>
      </w:r>
      <w:r>
        <w:t xml:space="preserve">, indexed by</w:t>
      </w:r>
      <w:r>
        <w:t xml:space="preserve"> </w:t>
      </w:r>
      <w:r>
        <w:rPr>
          <w:rStyle w:val="VerbatimChar"/>
        </w:rPr>
        <w:t xml:space="preserve">table_00_figure_manifest.csv</w:t>
      </w:r>
      <w:r>
        <w:t xml:space="preserve">; the Supplementary</w:t>
      </w:r>
      <w:r>
        <w:t xml:space="preserve"> </w:t>
      </w:r>
      <w:r>
        <w:t xml:space="preserve">Tables workbook reproduces, in order of citation, every table the manuscript cites.</w:t>
      </w:r>
    </w:p>
    <w:bookmarkEnd w:id="43"/>
    <w:bookmarkStart w:id="4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analysis code is available at</w:t>
      </w:r>
      <w:r>
        <w:t xml:space="preserve"> </w:t>
      </w:r>
      <w:r>
        <w:t xml:space="preserve">https://github.com/dingchenchen6/china-vertebrate-trait-biogeography and archived at</w:t>
      </w:r>
      <w:r>
        <w:t xml:space="preserve"> </w:t>
      </w:r>
      <w:r>
        <w:t xml:space="preserve">[Zenodo DOI]. The pipeline is written in R 4.5.1 and runs end to end from the raw public</w:t>
      </w:r>
      <w:r>
        <w:t xml:space="preserve"> </w:t>
      </w:r>
      <w:r>
        <w:t xml:space="preserve">sources to every figure and table. The random seed is fixed at 20260801; each script</w:t>
      </w:r>
      <w:r>
        <w:t xml:space="preserve"> </w:t>
      </w:r>
      <w:r>
        <w:t xml:space="preserve">carries a bilingual header stating its scientific question, inputs, workflow, outputs and</w:t>
      </w:r>
      <w:r>
        <w:t xml:space="preserve"> </w:t>
      </w:r>
      <w:r>
        <w:t xml:space="preserve">key assumptions. Principal packages: sf, terra, spdep, spatialreg, vegan, FD, ade4, lme4,</w:t>
      </w:r>
      <w:r>
        <w:t xml:space="preserve"> </w:t>
      </w:r>
      <w:r>
        <w:t xml:space="preserve">missForest, Matrix and cluster.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[To be completed by the author: funding, data providers, and any non-author contributions.]</w:t>
      </w:r>
    </w:p>
    <w:bookmarkEnd w:id="46"/>
    <w:bookmarkStart w:id="47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7"/>
    <w:bookmarkStart w:id="48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8"/>
    <w:bookmarkStart w:id="57" w:name="figure-legends"/>
    <w:p>
      <w:pPr>
        <w:pStyle w:val="Heading2"/>
      </w:pPr>
      <w:r>
        <w:t xml:space="preserve">Figure legends</w:t>
      </w:r>
    </w:p>
    <w:bookmarkStart w:id="49" w:name="X0aa59cf7991c442f6d436565d112937517609dd"/>
    <w:p>
      <w:pPr>
        <w:pStyle w:val="Heading3"/>
      </w:pPr>
      <w:r>
        <w:t xml:space="preserve">Fig. 1 | Study design, trait coverage and the assemblage framework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The thermal-buffering hypothesis stated as a prediction about slopes. Because</w:t>
      </w:r>
      <w:r>
        <w:t xml:space="preserve"> </w:t>
      </w:r>
      <w:r>
        <w:t xml:space="preserve">endothermy decouples body temperature from ambient conditions, the set of trait values that</w:t>
      </w:r>
      <w:r>
        <w:t xml:space="preserve"> </w:t>
      </w:r>
      <w:r>
        <w:t xml:space="preserve">can persist in an endothermic assemblage should be less tightly constrained by the</w:t>
      </w:r>
      <w:r>
        <w:t xml:space="preserve"> </w:t>
      </w:r>
      <w:r>
        <w:t xml:space="preserve">environment than in an ectothermic one; coupling strength is the slope of assemblage trait</w:t>
      </w:r>
      <w:r>
        <w:t xml:space="preserve"> </w:t>
      </w:r>
      <w:r>
        <w:t xml:space="preserve">composition on the environmental gradient (bars at right).</w:t>
      </w:r>
      <w:r>
        <w:t xml:space="preserve"> </w:t>
      </w:r>
      <w:r>
        <w:rPr>
          <w:b/>
          <w:bCs/>
        </w:rPr>
        <w:t xml:space="preserve">b</w:t>
      </w:r>
      <w:r>
        <w:t xml:space="preserve">, Species analysed per</w:t>
      </w:r>
      <w:r>
        <w:t xml:space="preserve"> </w:t>
      </w:r>
      <w:r>
        <w:t xml:space="preserve">class on the 50-km equal-area grid: 1,177 birds, 631 mammals, 520 reptiles and 509</w:t>
      </w:r>
      <w:r>
        <w:t xml:space="preserve"> </w:t>
      </w:r>
      <w:r>
        <w:t xml:space="preserve">amphibians, 2,837 in total across 3,782 analysable cells.</w:t>
      </w:r>
      <w:r>
        <w:t xml:space="preserve"> </w:t>
      </w:r>
      <w:r>
        <w:rPr>
          <w:b/>
          <w:bCs/>
        </w:rPr>
        <w:t xml:space="preserve">c–f</w:t>
      </w:r>
      <w:r>
        <w:t xml:space="preserve">, Species richness of each</w:t>
      </w:r>
      <w:r>
        <w:t xml:space="preserve"> </w:t>
      </w:r>
      <w:r>
        <w:t xml:space="preserve">class. Grey cells hold fewer than two species of that class; they are not absences.</w:t>
      </w:r>
    </w:p>
    <w:bookmarkEnd w:id="49"/>
    <w:bookmarkStart w:id="50" w:name="X6baa16c06355acd6eacfa1cd17f5d2d2cc3d2e0"/>
    <w:p>
      <w:pPr>
        <w:pStyle w:val="Heading3"/>
      </w:pPr>
      <w:r>
        <w:t xml:space="preserve">Fig. 2 |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functional axes and their independence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Definition of the three axes. Rather than rotating a principal-component solution</w:t>
      </w:r>
      <w:r>
        <w:t xml:space="preserve"> </w:t>
      </w:r>
      <w:r>
        <w:t xml:space="preserve">freely within each class — which would make the leading axis denote a different quantity in</w:t>
      </w:r>
      <w:r>
        <w:t xml:space="preserve"> </w:t>
      </w:r>
      <w:r>
        <w:t xml:space="preserve">each class — each axis is a fixed combination of named traits, so that</w:t>
      </w:r>
      <w:r>
        <w:t xml:space="preserve"> </w:t>
      </w:r>
      <w:r>
        <w:t xml:space="preserve">“body size”</w:t>
      </w:r>
      <w:r>
        <w:t xml:space="preserve">,</w:t>
      </w:r>
      <w:r>
        <w:t xml:space="preserve"> </w:t>
      </w:r>
      <w:r>
        <w:t xml:space="preserve">“pace of</w:t>
      </w:r>
      <w:r>
        <w:t xml:space="preserve"> </w:t>
      </w:r>
      <w:r>
        <w:t xml:space="preserve">life”</w:t>
      </w:r>
      <w:r>
        <w:t xml:space="preserve"> </w:t>
      </w:r>
      <w:r>
        <w:t xml:space="preserve">and</w:t>
      </w:r>
      <w:r>
        <w:t xml:space="preserve"> </w:t>
      </w:r>
      <w:r>
        <w:t xml:space="preserve">“niche breadth”</w:t>
      </w:r>
      <w:r>
        <w:t xml:space="preserve"> </w:t>
      </w:r>
      <w:r>
        <w:t xml:space="preserve">mean the same thing in birds, mammals, reptiles and amphibians.</w:t>
      </w:r>
      <w:r>
        <w:t xml:space="preserve"> </w:t>
      </w:r>
      <w:r>
        <w:t xml:space="preserve">Pace of life is the negative residual of fecundity on body size, and is therefore orthogonal</w:t>
      </w:r>
      <w:r>
        <w:t xml:space="preserve"> </w:t>
      </w:r>
      <w:r>
        <w:t xml:space="preserve">to size by construction.</w:t>
      </w:r>
      <w:r>
        <w:t xml:space="preserve"> </w:t>
      </w:r>
      <w:r>
        <w:rPr>
          <w:b/>
          <w:bCs/>
        </w:rPr>
        <w:t xml:space="preserve">b</w:t>
      </w:r>
      <w:r>
        <w:t xml:space="preserve">, Spearman correlations between axis pairs within each class.</w:t>
      </w:r>
      <w:r>
        <w:t xml:space="preserve"> </w:t>
      </w:r>
      <w:r>
        <w:t xml:space="preserve">All |</w:t>
      </w:r>
      <w:r>
        <w:rPr>
          <w:i/>
          <w:iCs/>
        </w:rPr>
        <w:t xml:space="preserve">r</w:t>
      </w:r>
      <w:r>
        <w:t xml:space="preserve">| ≤ 0.30 (maximum 0.297, size–niche in reptiles), so the axes carry separate</w:t>
      </w:r>
      <w:r>
        <w:t xml:space="preserve"> </w:t>
      </w:r>
      <w:r>
        <w:t xml:space="preserve">information.</w:t>
      </w:r>
      <w:r>
        <w:t xml:space="preserve"> </w:t>
      </w:r>
      <w:r>
        <w:rPr>
          <w:b/>
          <w:bCs/>
        </w:rPr>
        <w:t xml:space="preserve">c–f</w:t>
      </w:r>
      <w:r>
        <w:t xml:space="preserve">, The fecundity–size relationship from which the pace axis is built,</w:t>
      </w:r>
      <w:r>
        <w:t xml:space="preserve"> </w:t>
      </w:r>
      <w:r>
        <w:t xml:space="preserve">one panel per class, with its raw Spearman correlation — strongly positive only in</w:t>
      </w:r>
      <w:r>
        <w:t xml:space="preserve"> </w:t>
      </w:r>
      <w:r>
        <w:t xml:space="preserve">reptiles (ρ = +0.67). The pace axis is the residual of this relationship, so it is</w:t>
      </w:r>
      <w:r>
        <w:t xml:space="preserve"> </w:t>
      </w:r>
      <w:r>
        <w:t xml:space="preserve">uncorrelated with size whatever the raw correlation.</w:t>
      </w:r>
    </w:p>
    <w:bookmarkEnd w:id="50"/>
    <w:bookmarkStart w:id="51" w:name="X87eb59cb4e9aef0500424ae43aeb8b68275c0c1"/>
    <w:p>
      <w:pPr>
        <w:pStyle w:val="Heading3"/>
      </w:pPr>
      <w:r>
        <w:t xml:space="preserve">Fig. 3 | Geography of assemblage trait means across China</w:t>
      </w:r>
    </w:p>
    <w:p>
      <w:pPr>
        <w:pStyle w:val="FirstParagraph"/>
      </w:pPr>
      <w:r>
        <w:t xml:space="preserve">Community-weighted means of three traits — body size (</w:t>
      </w:r>
      <w:r>
        <w:rPr>
          <w:b/>
          <w:bCs/>
        </w:rPr>
        <w:t xml:space="preserve">a–d</w:t>
      </w:r>
      <w:r>
        <w:t xml:space="preserve">), habitat breadth (</w:t>
      </w:r>
      <w:r>
        <w:rPr>
          <w:b/>
          <w:bCs/>
        </w:rPr>
        <w:t xml:space="preserve">e–h</w:t>
      </w:r>
      <w:r>
        <w:t xml:space="preserve">)</w:t>
      </w:r>
      <w:r>
        <w:t xml:space="preserve"> </w:t>
      </w:r>
      <w:r>
        <w:t xml:space="preserve">and nocturnality (</w:t>
      </w:r>
      <w:r>
        <w:rPr>
          <w:b/>
          <w:bCs/>
        </w:rPr>
        <w:t xml:space="preserve">i–l</w:t>
      </w:r>
      <w:r>
        <w:t xml:space="preserve">) — for birds, mammals, reptiles and amphibians on the 50-km grid.</w:t>
      </w:r>
      <w:r>
        <w:t xml:space="preserve"> </w:t>
      </w:r>
      <w:r>
        <w:t xml:space="preserve">Each row shares one colour scale. Body size uses one measure per class: body mass for birds,</w:t>
      </w:r>
      <w:r>
        <w:t xml:space="preserve"> </w:t>
      </w:r>
      <w:r>
        <w:t xml:space="preserve">mammals and reptiles, body length for amphibians, whose mass is 74.7% derived allometrically</w:t>
      </w:r>
      <w:r>
        <w:t xml:space="preserve"> </w:t>
      </w:r>
      <w:r>
        <w:t xml:space="preserve">from length (Supplementary Fig. 14). Because traits are standardised within class before the</w:t>
      </w:r>
      <w:r>
        <w:t xml:space="preserve"> </w:t>
      </w:r>
      <w:r>
        <w:t xml:space="preserve">moments are computed, panels remain comparable despite the different underlying measures.</w:t>
      </w:r>
      <w:r>
        <w:t xml:space="preserve"> </w:t>
      </w:r>
      <w:r>
        <w:t xml:space="preserve">Blank cells hold fewer than five species of that class, so assemblage moments are not</w:t>
      </w:r>
      <w:r>
        <w:t xml:space="preserve"> </w:t>
      </w:r>
      <w:r>
        <w:t xml:space="preserve">estimable there;</w:t>
      </w:r>
      <w:r>
        <w:t xml:space="preserve"> </w:t>
      </w:r>
      <w:r>
        <w:rPr>
          <w:b/>
          <w:bCs/>
        </w:rPr>
        <w:t xml:space="preserve">they are not absences</w:t>
      </w:r>
      <w:r>
        <w:t xml:space="preserve">. Cells mapped: birds 100%, mammals 100%, reptiles</w:t>
      </w:r>
      <w:r>
        <w:t xml:space="preserve"> </w:t>
      </w:r>
      <w:r>
        <w:t xml:space="preserve">87%, amphibians 53% of analysable land cells.</w:t>
      </w:r>
    </w:p>
    <w:bookmarkEnd w:id="51"/>
    <w:bookmarkStart w:id="52" w:name="X744c70a2dfa1a933c4dec8a32e9badcc8622910"/>
    <w:p>
      <w:pPr>
        <w:pStyle w:val="Heading3"/>
      </w:pPr>
      <w:r>
        <w:t xml:space="preserve">Fig. 4 | Which biodiversity hypothesis drives assemblage trait structure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Standardised effect of each of six named predictors — one per classical biodiversity</w:t>
      </w:r>
      <w:r>
        <w:t xml:space="preserve"> </w:t>
      </w:r>
      <w:r>
        <w:t xml:space="preserve">hypothesis (ambient energy, water availability, productivity, habitat heterogeneity, climatic</w:t>
      </w:r>
      <w:r>
        <w:t xml:space="preserve"> </w:t>
      </w:r>
      <w:r>
        <w:t xml:space="preserve">seasonality, human pressure) — on every trait and every functional axis, by class, from</w:t>
      </w:r>
      <w:r>
        <w:t xml:space="preserve"> </w:t>
      </w:r>
      <w:r>
        <w:t xml:space="preserve">spatial simultaneous autoregressive error models. Every model controls for all six predictors</w:t>
      </w:r>
      <w:r>
        <w:t xml:space="preserve"> </w:t>
      </w:r>
      <w:r>
        <w:t xml:space="preserve">at once, so each cell is that hypothesis’s unique effect. Dots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uniquely attributable to the climate, habitat and human predictor groups.</w:t>
      </w:r>
      <w:r>
        <w:t xml:space="preserve"> </w:t>
      </w:r>
      <w:r>
        <w:t xml:space="preserve">Climate dominates in all four classes (class means 0.240–0.396 of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²) while the</w:t>
      </w:r>
      <w:r>
        <w:t xml:space="preserve"> </w:t>
      </w:r>
      <w:r>
        <w:t xml:space="preserve">habitat and human group means each stay below 0.04.</w:t>
      </w:r>
      <w:r>
        <w:t xml:space="preserve"> </w:t>
      </w:r>
      <w:r>
        <w:rPr>
          <w:b/>
          <w:bCs/>
        </w:rPr>
        <w:t xml:space="preserve">c</w:t>
      </w:r>
      <w:r>
        <w:t xml:space="preserve">, Mean absolute standardised effect</w:t>
      </w:r>
      <w:r>
        <w:t xml:space="preserve"> </w:t>
      </w:r>
      <w:r>
        <w:t xml:space="preserve">of the component traits against that of the composite axis they form. In six of eight</w:t>
      </w:r>
      <w:r>
        <w:t xml:space="preserve"> </w:t>
      </w:r>
      <w:r>
        <w:t xml:space="preserve">comparisons the composite is</w:t>
      </w:r>
      <w:r>
        <w:t xml:space="preserve"> </w:t>
      </w:r>
      <w:r>
        <w:rPr>
          <w:i/>
          <w:iCs/>
        </w:rPr>
        <w:t xml:space="preserve">weaker</w:t>
      </w:r>
      <w:r>
        <w:t xml:space="preserve"> </w:t>
      </w:r>
      <w:r>
        <w:t xml:space="preserve">than its components, so combining traits into an axis</w:t>
      </w:r>
      <w:r>
        <w:t xml:space="preserve"> </w:t>
      </w:r>
      <w:r>
        <w:t xml:space="preserve">dilutes rather than concentrates the environmental signal.</w:t>
      </w:r>
    </w:p>
    <w:bookmarkEnd w:id="52"/>
    <w:bookmarkStart w:id="53" w:name="X7806e1177b1962ed6838846918071773a3e99fb"/>
    <w:p>
      <w:pPr>
        <w:pStyle w:val="Heading3"/>
      </w:pPr>
      <w:r>
        <w:t xml:space="preserve">Fig. 5 | Endotherms and ectotherms differ in trait–environment coupling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Coupling strength — the mean absolute standardised environmental effect — for each of</w:t>
      </w:r>
      <w:r>
        <w:t xml:space="preserve"> </w:t>
      </w:r>
      <w:r>
        <w:t xml:space="preserve">33 families that meet the inclusion thresholds (≥20 Chinese species and ≥100 occupied cells),</w:t>
      </w:r>
      <w:r>
        <w:t xml:space="preserve"> </w:t>
      </w:r>
      <w:r>
        <w:t xml:space="preserve">coloured by class, with boxes summarising the two thermoregulatory modes. Ectotherm families</w:t>
      </w:r>
      <w:r>
        <w:t xml:space="preserve"> </w:t>
      </w:r>
      <w:r>
        <w:t xml:space="preserve">are 1.72× more tightly coupled (Wilcoxon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0.019).</w:t>
      </w:r>
      <w:r>
        <w:t xml:space="preserve"> </w:t>
      </w:r>
      <w:r>
        <w:rPr>
          <w:b/>
          <w:bCs/>
        </w:rPr>
        <w:t xml:space="preserve">b</w:t>
      </w:r>
      <w:r>
        <w:t xml:space="preserve">, The same contrast resolved by</w:t>
      </w:r>
      <w:r>
        <w:t xml:space="preserve"> </w:t>
      </w:r>
      <w:r>
        <w:t xml:space="preserve">environmental axis. Ectotherm families have the higher mean coupling on all five</w:t>
      </w:r>
      <w:r>
        <w:t xml:space="preserve"> </w:t>
      </w:r>
      <w:r>
        <w:t xml:space="preserve">axes, by the smallest margin for water availability, where the two medians are</w:t>
      </w:r>
      <w:r>
        <w:t xml:space="preserve"> </w:t>
      </w:r>
      <w:r>
        <w:t xml:space="preserve">similar. Greyscale distinguishes the</w:t>
      </w:r>
      <w:r>
        <w:t xml:space="preserve"> </w:t>
      </w:r>
      <w:r>
        <w:t xml:space="preserve">thermoregulatory modes so that no colour means both a class and a mode within this figure.</w:t>
      </w:r>
      <w:r>
        <w:t xml:space="preserve"> </w:t>
      </w:r>
      <w:r>
        <w:rPr>
          <w:b/>
          <w:bCs/>
        </w:rPr>
        <w:t xml:space="preserve">c</w:t>
      </w:r>
      <w:r>
        <w:t xml:space="preserve">, Family-level effect of thermal energy on the community-weighted mean of body mass</w:t>
      </w:r>
      <w:r>
        <w:t xml:space="preserve"> </w:t>
      </w:r>
      <w:r>
        <w:t xml:space="preserve">(point estimate ± 95% CI), the single strongest contrast. Body mass is used for all four</w:t>
      </w:r>
      <w:r>
        <w:t xml:space="preserve"> </w:t>
      </w:r>
      <w:r>
        <w:t xml:space="preserve">classes here so that the cross-class comparison concerns one named quantity; substituting</w:t>
      </w:r>
      <w:r>
        <w:t xml:space="preserve"> </w:t>
      </w:r>
      <w:r>
        <w:t xml:space="preserve">length for mass in amphibians — the only class where mass is mostly inferred — moves the</w:t>
      </w:r>
      <w:r>
        <w:t xml:space="preserve"> </w:t>
      </w:r>
      <w:r>
        <w:t xml:space="preserve">overall ratio from 1.72 to 1.67 and the thermal ratio from 1.79 to 1.77 (Supplementary Table 8).</w:t>
      </w:r>
    </w:p>
    <w:p>
      <w:pPr>
        <w:pStyle w:val="BodyText"/>
      </w:pPr>
      <w:r>
        <w:rPr>
          <w:i/>
          <w:iCs/>
        </w:rPr>
        <w:t xml:space="preserve">Families are the replicate unit because classes provide only two replicates per</w:t>
      </w:r>
      <w:r>
        <w:rPr>
          <w:i/>
          <w:iCs/>
        </w:rPr>
        <w:t xml:space="preserve"> </w:t>
      </w:r>
      <w:r>
        <w:rPr>
          <w:i/>
          <w:iCs/>
        </w:rPr>
        <w:t xml:space="preserve">thermoregulatory mode and grid cells are pseudoreplicated. Estimates come from</w:t>
      </w:r>
      <w:r>
        <w:rPr>
          <w:i/>
          <w:iCs/>
        </w:rPr>
        <w:t xml:space="preserve"> </w:t>
      </w:r>
      <w:r>
        <w:rPr>
          <w:i/>
          <w:iCs/>
        </w:rPr>
        <w:t xml:space="preserve">family-specific spatial autoregressive error models on the 50-km grid.</w:t>
      </w:r>
    </w:p>
    <w:bookmarkEnd w:id="53"/>
    <w:bookmarkStart w:id="54" w:name="X4f0efc32b458e4d7636ddcee2bdb8f033663a77"/>
    <w:p>
      <w:pPr>
        <w:pStyle w:val="Heading3"/>
      </w:pPr>
      <w:r>
        <w:t xml:space="preserve">Fig. 6 | Fourth-corner max test of trait–environment links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Signed fourth-corner statistic for every trait × predictor combination, by class. Dots</w:t>
      </w:r>
      <w:r>
        <w:t xml:space="preserve"> </w:t>
      </w:r>
      <w:r>
        <w:t xml:space="preserve">mark links that survive the max test (</w:t>
      </w:r>
      <w:r>
        <w:rPr>
          <w:rStyle w:val="VerbatimChar"/>
        </w:rPr>
        <w:t xml:space="preserve">modeltype = 6</w:t>
      </w:r>
      <w:r>
        <w:t xml:space="preserve">, which permutes sites and species</w:t>
      </w:r>
      <w:r>
        <w:t xml:space="preserve"> </w:t>
      </w:r>
      <w:r>
        <w:t xml:space="preserve">independently and takes the larger of the two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values) at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Percentage of tests declared significant by naive community-weighted-mean regression</w:t>
      </w:r>
      <w:r>
        <w:t xml:space="preserve"> </w:t>
      </w:r>
      <w:r>
        <w:t xml:space="preserve">against the max test. The naive test inflates significance because all sites share a single</w:t>
      </w:r>
      <w:r>
        <w:t xml:space="preserve"> </w:t>
      </w:r>
      <w:r>
        <w:t xml:space="preserve">trait vector, so residuals are not independent: 88.9–98.1% of links are called significant</w:t>
      </w:r>
      <w:r>
        <w:t xml:space="preserve"> </w:t>
      </w:r>
      <w:r>
        <w:t xml:space="preserve">naively against 53.7–75.9% under the valid test, an inflation of 1.27× (birds), 1.36×</w:t>
      </w:r>
      <w:r>
        <w:t xml:space="preserve"> </w:t>
      </w:r>
      <w:r>
        <w:t xml:space="preserve">(mammals), 1.55× (amphibians) and 1.72× (reptiles) — worst in the ectotherm classes.</w:t>
      </w:r>
      <w:r>
        <w:t xml:space="preserve"> </w:t>
      </w:r>
      <w:r>
        <w:rPr>
          <w:b/>
          <w:bCs/>
        </w:rPr>
        <w:t xml:space="preserve">c</w:t>
      </w:r>
      <w:r>
        <w:t xml:space="preserve">, Links surviving the max test per predictor, separated into single traits and composite</w:t>
      </w:r>
      <w:r>
        <w:t xml:space="preserve"> </w:t>
      </w:r>
      <w:r>
        <w:t xml:space="preserve">axes and expressed as proportions because the two have different denominators (24 tests per</w:t>
      </w:r>
      <w:r>
        <w:t xml:space="preserve"> </w:t>
      </w:r>
      <w:r>
        <w:t xml:space="preserve">trait bar, 12 per axis bar).</w:t>
      </w:r>
    </w:p>
    <w:bookmarkEnd w:id="54"/>
    <w:bookmarkStart w:id="55" w:name="X11dab106384de61d4b0194369141b06af93188f"/>
    <w:p>
      <w:pPr>
        <w:pStyle w:val="Heading3"/>
      </w:pPr>
      <w:r>
        <w:t xml:space="preserve">Fig. 7 | No single class is a reliable surrogate for another</w:t>
      </w:r>
    </w:p>
    <w:p>
      <w:pPr>
        <w:pStyle w:val="FirstParagraph"/>
      </w:pPr>
      <w:r>
        <w:rPr>
          <w:b/>
          <w:bCs/>
        </w:rPr>
        <w:t xml:space="preserve">a–c</w:t>
      </w:r>
      <w:r>
        <w:t xml:space="preserve">,</w:t>
      </w:r>
      <w:r>
        <w:t xml:space="preserve"> </w:t>
      </w:r>
      <w:r>
        <w:rPr>
          <w:i/>
          <w:iCs/>
        </w:rPr>
        <w:t xml:space="preserve">k</w:t>
      </w:r>
      <w:r>
        <w:t xml:space="preserve">-means partition of grid cells on their profile of trait-moment standardised</w:t>
      </w:r>
      <w:r>
        <w:t xml:space="preserve"> </w:t>
      </w:r>
      <w:r>
        <w:t xml:space="preserve">effect sizes, with the number of regions chosen by average silhouette width. The dashed line</w:t>
      </w:r>
      <w:r>
        <w:t xml:space="preserve"> </w:t>
      </w:r>
      <w:r>
        <w:t xml:space="preserve">is the Hu Huanyong (Heihe–Tengchong) line, an independent population-geographic divide that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input to the clustering; each class independently recovers a north-west versus</w:t>
      </w:r>
      <w:r>
        <w:t xml:space="preserve"> </w:t>
      </w:r>
      <w:r>
        <w:t xml:space="preserve">south-east division agreeing with it in 76–78% of cells. Mammals additionally separate the</w:t>
      </w:r>
      <w:r>
        <w:t xml:space="preserve"> </w:t>
      </w:r>
      <w:r>
        <w:t xml:space="preserve">Tibetan Plateau and the north-east.</w:t>
      </w:r>
      <w:r>
        <w:t xml:space="preserve"> </w:t>
      </w:r>
      <w:r>
        <w:rPr>
          <w:b/>
          <w:bCs/>
        </w:rPr>
        <w:t xml:space="preserve">d</w:t>
      </w:r>
      <w:r>
        <w:t xml:space="preserve">, Adjusted Rand index between class-specific</w:t>
      </w:r>
      <w:r>
        <w:t xml:space="preserve"> </w:t>
      </w:r>
      <w:r>
        <w:t xml:space="preserve">partitions. The bracketed value forces every class to two regions, which separates</w:t>
      </w:r>
      <w:r>
        <w:t xml:space="preserve"> </w:t>
      </w:r>
      <w:r>
        <w:t xml:space="preserve">“a different boundary”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different number of regions”</w:t>
      </w:r>
      <w:r>
        <w:t xml:space="preserve">.</w:t>
      </w:r>
      <w:r>
        <w:t xml:space="preserve"> </w:t>
      </w:r>
      <w:r>
        <w:rPr>
          <w:b/>
          <w:bCs/>
        </w:rPr>
        <w:t xml:space="preserve">e</w:t>
      </w:r>
      <w:r>
        <w:t xml:space="preserve">, Cluster centres, giving</w:t>
      </w:r>
      <w:r>
        <w:t xml:space="preserve"> </w:t>
      </w:r>
      <w:r>
        <w:t xml:space="preserve">each region an interpretable trait signature. Amphibians are omitted: two of the six traits in</w:t>
      </w:r>
      <w:r>
        <w:t xml:space="preserve"> </w:t>
      </w:r>
      <w:r>
        <w:t xml:space="preserve">the profile, body mass and nocturnality, are observed for only 8% and 11% of</w:t>
      </w:r>
      <w:r>
        <w:t xml:space="preserve"> </w:t>
      </w:r>
      <w:r>
        <w:t xml:space="preserve">amphibian species (Supplementary Table 28), so an amphibian partition would</w:t>
      </w:r>
      <w:r>
        <w:t xml:space="preserve"> </w:t>
      </w:r>
      <w:r>
        <w:t xml:space="preserve">largely reflect imputed values.</w:t>
      </w:r>
    </w:p>
    <w:bookmarkEnd w:id="55"/>
    <w:bookmarkStart w:id="56" w:name="Xa733520e77d6028107887660bf60ce3741b97f4"/>
    <w:p>
      <w:pPr>
        <w:pStyle w:val="Heading3"/>
      </w:pPr>
      <w:r>
        <w:t xml:space="preserve">Fig. 8 | Conservation design: complementarity, under-protected traits and 30 × 30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 Accumulation curves for target-based greedy complementarity, in which a feature</w:t>
      </w:r>
      <w:r>
        <w:t xml:space="preserve"> </w:t>
      </w:r>
      <w:r>
        <w:t xml:space="preserve">counts as covered once 30% of its range is protected — the Kunming–Montreal Target 3</w:t>
      </w:r>
      <w:r>
        <w:t xml:space="preserve"> </w:t>
      </w:r>
      <w:r>
        <w:t xml:space="preserve">criterion — for functional bins (</w:t>
      </w:r>
      <w:r>
        <w:rPr>
          <w:b/>
          <w:bCs/>
        </w:rPr>
        <w:t xml:space="preserve">a</w:t>
      </w:r>
      <w:r>
        <w:t xml:space="preserve">) and species (</w:t>
      </w:r>
      <w:r>
        <w:rPr>
          <w:b/>
          <w:bCs/>
        </w:rPr>
        <w:t xml:space="preserve">b</w:t>
      </w:r>
      <w:r>
        <w:t xml:space="preserve">). Grey band: 95% of random</w:t>
      </w:r>
      <w:r>
        <w:t xml:space="preserve"> </w:t>
      </w:r>
      <w:r>
        <w:t xml:space="preserve">selections. The existing reserve network (orange point) covers 10.36% of land and brings only</w:t>
      </w:r>
      <w:r>
        <w:t xml:space="preserve"> </w:t>
      </w:r>
      <w:r>
        <w:t xml:space="preserve">1.5% of functional bins and 2.9% of species to target; an optimal layout of the same area</w:t>
      </w:r>
      <w:r>
        <w:t xml:space="preserve"> </w:t>
      </w:r>
      <w:r>
        <w:t xml:space="preserve">reaches 48.0% and 50.7%.</w:t>
      </w:r>
      <w:r>
        <w:t xml:space="preserve"> </w:t>
      </w:r>
      <w:r>
        <w:rPr>
          <w:b/>
          <w:bCs/>
        </w:rPr>
        <w:t xml:space="preserve">c</w:t>
      </w:r>
      <w:r>
        <w:t xml:space="preserve">, Effect of each functional axis on the protected fraction of a</w:t>
      </w:r>
      <w:r>
        <w:t xml:space="preserve"> </w:t>
      </w:r>
      <w:r>
        <w:t xml:space="preserve">species’ range (quasi-binomial GLM weighted by range area, controlling range size). Negative</w:t>
      </w:r>
      <w:r>
        <w:t xml:space="preserve"> </w:t>
      </w:r>
      <w:r>
        <w:t xml:space="preserve">means the high end of that axis is under-protected. Body size reverses between mammals</w:t>
      </w:r>
      <w:r>
        <w:t xml:space="preserve"> </w:t>
      </w:r>
      <w:r>
        <w:t xml:space="preserve">(+0.283) and reptiles (−0.308). Slow pace is under-protected in mammals and</w:t>
      </w:r>
      <w:r>
        <w:t xml:space="preserve"> </w:t>
      </w:r>
      <w:r>
        <w:t xml:space="preserve">amphibians; broad niches are under-protected in mammals and amphibians but better</w:t>
      </w:r>
      <w:r>
        <w:t xml:space="preserve"> </w:t>
      </w:r>
      <w:r>
        <w:t xml:space="preserve">protected in reptiles (+0.211).</w:t>
      </w:r>
      <w:r>
        <w:t xml:space="preserve"> </w:t>
      </w:r>
      <w:r>
        <w:t xml:space="preserve">Note that the niche axis runs narrow → broad, so its negative coefficients identify</w:t>
      </w:r>
      <w:r>
        <w:t xml:space="preserve"> </w:t>
      </w:r>
      <w:r>
        <w:rPr>
          <w:b/>
          <w:bCs/>
        </w:rPr>
        <w:t xml:space="preserve">wide-ranging generalists</w:t>
      </w:r>
      <w:r>
        <w:t xml:space="preserve">, not specialists. Asterisks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d</w:t>
      </w:r>
      <w:r>
        <w:t xml:space="preserve">, Percentage of species reaching the 30%-of-range target under the current network and</w:t>
      </w:r>
      <w:r>
        <w:t xml:space="preserve"> </w:t>
      </w:r>
      <w:r>
        <w:t xml:space="preserve">under three 30%-of-land strategies.</w:t>
      </w:r>
      <w:r>
        <w:t xml:space="preserve"> </w:t>
      </w:r>
      <w:r>
        <w:rPr>
          <w:b/>
          <w:bCs/>
        </w:rPr>
        <w:t xml:space="preserve">e</w:t>
      </w:r>
      <w:r>
        <w:t xml:space="preserve">, Priority cells selected at a 30% budget under the</w:t>
      </w:r>
      <w:r>
        <w:t xml:space="preserve"> </w:t>
      </w:r>
      <w:r>
        <w:t xml:space="preserve">species and trait-space targets, and their overlap.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2026-10-10T19:21:33Z</dcterms:created>
  <dcterms:modified xsi:type="dcterms:W3CDTF">2026-10-10T19:21:33Z</dcterms:modified>
</cp:coreProperties>
</file>