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To the Editors,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Global Ecology and Biogeography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Please consider the enclosed manuscript,</w:t>
      </w:r>
      <w:r>
        <w:t xml:space="preserve"> </w:t>
      </w:r>
      <w:r>
        <w:rPr>
          <w:b/>
          <w:bCs/>
        </w:rPr>
        <w:t xml:space="preserve">“Thermoregulatory mode sets the strength of</w:t>
      </w:r>
      <w:r>
        <w:rPr>
          <w:b/>
          <w:bCs/>
        </w:rPr>
        <w:t xml:space="preserve"> </w:t>
      </w:r>
      <w:r>
        <w:rPr>
          <w:b/>
          <w:bCs/>
        </w:rPr>
        <w:t xml:space="preserve">environmental filtering on vertebrate assemblage traits, and leaves a directional</w:t>
      </w:r>
      <w:r>
        <w:rPr>
          <w:b/>
          <w:bCs/>
        </w:rPr>
        <w:t xml:space="preserve"> </w:t>
      </w:r>
      <w:r>
        <w:rPr>
          <w:b/>
          <w:bCs/>
        </w:rPr>
        <w:t xml:space="preserve">conservation gap”</w:t>
      </w:r>
      <w:r>
        <w:t xml:space="preserve">, for publication as a Research Article.</w:t>
      </w:r>
    </w:p>
    <w:p>
      <w:pPr>
        <w:pStyle w:val="BodyText"/>
      </w:pPr>
      <w:r>
        <w:rPr>
          <w:b/>
          <w:bCs/>
        </w:rPr>
        <w:t xml:space="preserve">What the paper reports.</w:t>
      </w:r>
      <w:r>
        <w:t xml:space="preserve"> </w:t>
      </w:r>
      <w:r>
        <w:t xml:space="preserve">Trait-based biogeography has a standard move: collapse many</w:t>
      </w:r>
      <w:r>
        <w:t xml:space="preserve"> </w:t>
      </w:r>
      <w:r>
        <w:t xml:space="preserve">traits into one composite axis, then ask which environmental gradient explains it. Using</w:t>
      </w:r>
      <w:r>
        <w:t xml:space="preserve"> </w:t>
      </w:r>
      <w:r>
        <w:t xml:space="preserve">2,837 terrestrial vertebrate species across 3,782 50-km cells of China, we show that both</w:t>
      </w:r>
      <w:r>
        <w:t xml:space="preserve"> </w:t>
      </w:r>
      <w:r>
        <w:t xml:space="preserve">steps discard information.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Assemblage trait structure is at least three separable dimensions, and compositing</w:t>
      </w:r>
      <w:r>
        <w:rPr>
          <w:b/>
          <w:bCs/>
        </w:rPr>
        <w:t xml:space="preserve"> </w:t>
      </w:r>
      <w:r>
        <w:rPr>
          <w:b/>
          <w:bCs/>
        </w:rPr>
        <w:t xml:space="preserve">them costs sensitivity.</w:t>
      </w:r>
      <w:r>
        <w:t xml:space="preserve"> </w:t>
      </w:r>
      <w:r>
        <w:t xml:space="preserve">Body size, pace of life and niche breadth are near-independent</w:t>
      </w:r>
      <w:r>
        <w:t xml:space="preserve"> </w:t>
      </w:r>
      <w:r>
        <w:t xml:space="preserve">(|</w:t>
      </w:r>
      <w:r>
        <w:rPr>
          <w:i/>
          <w:iCs/>
        </w:rPr>
        <w:t xml:space="preserve">r</w:t>
      </w:r>
      <w:r>
        <w:t xml:space="preserve">| ≤ 0.30), and combining traits into a composite axis</w:t>
      </w:r>
      <w:r>
        <w:t xml:space="preserve"> </w:t>
      </w:r>
      <w:r>
        <w:rPr>
          <w:i/>
          <w:iCs/>
        </w:rPr>
        <w:t xml:space="preserve">weakens</w:t>
      </w:r>
      <w:r>
        <w:t xml:space="preserve"> </w:t>
      </w:r>
      <w:r>
        <w:t xml:space="preserve">the environmental</w:t>
      </w:r>
      <w:r>
        <w:t xml:space="preserve"> </w:t>
      </w:r>
      <w:r>
        <w:t xml:space="preserve">signal in six of eight comparisons.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Climate dominates in every class, but thermoregulatory mode sets how strongly.</w:t>
      </w:r>
      <w:r>
        <w:t xml:space="preserve"> </w:t>
      </w:r>
      <w:r>
        <w:t xml:space="preserve">Ambient</w:t>
      </w:r>
      <w:r>
        <w:t xml:space="preserve"> </w:t>
      </w:r>
      <w:r>
        <w:t xml:space="preserve">energy affects ectotherm assemblages about 2.3 times more strongly than endotherm</w:t>
      </w:r>
      <w:r>
        <w:t xml:space="preserve"> </w:t>
      </w:r>
      <w:r>
        <w:t xml:space="preserve">assemblages (1.98–2.63 across specifications; every 95% CI excluding 1). Significance is</w:t>
      </w:r>
      <w:r>
        <w:t xml:space="preserve"> </w:t>
      </w:r>
      <w:r>
        <w:t xml:space="preserve">tested with the fourth-corner max test, after quantifying the Type I inflation of naive</w:t>
      </w:r>
      <w:r>
        <w:t xml:space="preserve"> </w:t>
      </w:r>
      <w:r>
        <w:t xml:space="preserve">community-weighted-mean regression on these data (1.27–1.72-fold).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reserve network’s functional shortfall has a direction.</w:t>
      </w:r>
      <w:r>
        <w:t xml:space="preserve"> </w:t>
      </w:r>
      <w:r>
        <w:t xml:space="preserve">China’s nature reserves</w:t>
      </w:r>
      <w:r>
        <w:t xml:space="preserve"> </w:t>
      </w:r>
      <w:r>
        <w:t xml:space="preserve">cover 10.36% of the land but bring only 2.9% of species to the Kunming–Montreal target of</w:t>
      </w:r>
      <w:r>
        <w:t xml:space="preserve"> </w:t>
      </w:r>
      <w:r>
        <w:t xml:space="preserve">30% of range protected, against 50.7% for an optimal layout of the same area. Large mammals</w:t>
      </w:r>
      <w:r>
        <w:t xml:space="preserve"> </w:t>
      </w:r>
      <w:r>
        <w:t xml:space="preserve">are the best-protected trait end (+0.283) and large reptiles the worst (−0.308).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Global Ecology and Biogeography</w:t>
      </w:r>
      <w:r>
        <w:rPr>
          <w:b/>
          <w:bCs/>
        </w:rPr>
        <w:t xml:space="preserve">.</w:t>
      </w:r>
      <w:r>
        <w:t xml:space="preserve"> </w:t>
      </w:r>
      <w:r>
        <w:t xml:space="preserve">The paper sits at the centre of the journal’s</w:t>
      </w:r>
      <w:r>
        <w:t xml:space="preserve"> </w:t>
      </w:r>
      <w:r>
        <w:t xml:space="preserve">remit. It takes the classical hypotheses that macroecology has tested on species richness —</w:t>
      </w:r>
      <w:r>
        <w:t xml:space="preserve"> </w:t>
      </w:r>
      <w:r>
        <w:t xml:space="preserve">ambient energy, water availability, productivity, habitat heterogeneity, climatic seasonality — and</w:t>
      </w:r>
      <w:r>
        <w:t xml:space="preserve"> </w:t>
      </w:r>
      <w:r>
        <w:t xml:space="preserve">tests them on trait composition, one named predictor per hypothesis, across four vertebrate</w:t>
      </w:r>
      <w:r>
        <w:t xml:space="preserve"> </w:t>
      </w:r>
      <w:r>
        <w:t xml:space="preserve">classes on one data foundation. It also addresses inference problems that</w:t>
      </w:r>
      <w:r>
        <w:t xml:space="preserve"> </w:t>
      </w:r>
      <w:r>
        <w:rPr>
          <w:i/>
          <w:iCs/>
        </w:rPr>
        <w:t xml:space="preserve">GEB</w:t>
      </w:r>
      <w:r>
        <w:t xml:space="preserve"> </w:t>
      </w:r>
      <w:r>
        <w:t xml:space="preserve">readers meet</w:t>
      </w:r>
      <w:r>
        <w:t xml:space="preserve"> </w:t>
      </w:r>
      <w:r>
        <w:t xml:space="preserve">whenever they analyse community-weighted means: the Type I inflation of naive regression,</w:t>
      </w:r>
      <w:r>
        <w:t xml:space="preserve"> </w:t>
      </w:r>
      <w:r>
        <w:t xml:space="preserve">null models that manufacture clustering in endemic-rich taxa, and composite axes that mean</w:t>
      </w:r>
      <w:r>
        <w:t xml:space="preserve"> </w:t>
      </w:r>
      <w:r>
        <w:t xml:space="preserve">different things in different clades.</w:t>
      </w:r>
    </w:p>
    <w:p>
      <w:pPr>
        <w:pStyle w:val="BodyText"/>
      </w:pPr>
      <w:r>
        <w:rPr>
          <w:b/>
          <w:bCs/>
        </w:rPr>
        <w:t xml:space="preserve">On how the evidence is reported.</w:t>
      </w:r>
      <w:r>
        <w:t xml:space="preserve"> </w:t>
      </w:r>
      <w:r>
        <w:t xml:space="preserve">We pre-specified refutation conditions for each</w:t>
      </w:r>
      <w:r>
        <w:t xml:space="preserve"> </w:t>
      </w:r>
      <w:r>
        <w:t xml:space="preserve">hypothesis, and one was nearly met: ectotherms respond more strongly to five of six</w:t>
      </w:r>
      <w:r>
        <w:t xml:space="preserve"> </w:t>
      </w:r>
      <w:r>
        <w:t xml:space="preserve">predictors, not only to thermal ones. We therefore report thermal buffering as</w:t>
      </w:r>
      <w:r>
        <w:t xml:space="preserve"> </w:t>
      </w:r>
      <w:r>
        <w:rPr>
          <w:b/>
          <w:bCs/>
        </w:rPr>
        <w:t xml:space="preserve">partially</w:t>
      </w:r>
      <w:r>
        <w:rPr>
          <w:b/>
          <w:bCs/>
        </w:rPr>
        <w:t xml:space="preserve"> </w:t>
      </w:r>
      <w:r>
        <w:rPr>
          <w:b/>
          <w:bCs/>
        </w:rPr>
        <w:t xml:space="preserve">supported</w:t>
      </w:r>
      <w:r>
        <w:t xml:space="preserve"> </w:t>
      </w:r>
      <w:r>
        <w:t xml:space="preserve">and replace the failed single negative control with a dose–response test across</w:t>
      </w:r>
      <w:r>
        <w:t xml:space="preserve"> </w:t>
      </w:r>
      <w:r>
        <w:t xml:space="preserve">eight predictors (ρ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Where earlier analyses failed their own checks, the</w:t>
      </w:r>
      <w:r>
        <w:t xml:space="preserve"> </w:t>
      </w:r>
      <w:r>
        <w:t xml:space="preserve">paper reports the correction: an apparent amphibian over-dispersion signal disappeared once</w:t>
      </w:r>
      <w:r>
        <w:t xml:space="preserve"> </w:t>
      </w:r>
      <w:r>
        <w:t xml:space="preserve">the null model weighted species by occupancy (+1.70 to +0.08), and a claim that range maps</w:t>
      </w:r>
      <w:r>
        <w:t xml:space="preserve"> </w:t>
      </w:r>
      <w:r>
        <w:t xml:space="preserve">understate anthropogenic effects held only for birds once identical cells were compared.</w:t>
      </w:r>
    </w:p>
    <w:p>
      <w:pPr>
        <w:pStyle w:val="BodyText"/>
      </w:pPr>
      <w:r>
        <w:rPr>
          <w:b/>
          <w:bCs/>
        </w:rPr>
        <w:t xml:space="preserve">On length.</w:t>
      </w:r>
      <w:r>
        <w:t xml:space="preserve"> </w:t>
      </w:r>
      <w:r>
        <w:t xml:space="preserve">We note that the main body (6,477 words) and reference list (100) exceed the</w:t>
      </w:r>
      <w:r>
        <w:t xml:space="preserve"> </w:t>
      </w:r>
      <w:r>
        <w:t xml:space="preserve">journal’s indicative 5,000 words and 50 citations, while the 8 figures fall within the</w:t>
      </w:r>
      <w:r>
        <w:t xml:space="preserve"> </w:t>
      </w:r>
      <w:r>
        <w:t xml:space="preserve">indicative six to eight. The length comes from four vertebrate classes, three linked</w:t>
      </w:r>
      <w:r>
        <w:t xml:space="preserve"> </w:t>
      </w:r>
      <w:r>
        <w:t xml:space="preserve">questions, and Methods detailed enough to reproduce every result. If the editors prefer, we</w:t>
      </w:r>
      <w:r>
        <w:t xml:space="preserve"> </w:t>
      </w:r>
      <w:r>
        <w:t xml:space="preserve">will move parts of the Methods and Results to the Supporting Information.</w:t>
      </w:r>
    </w:p>
    <w:p>
      <w:pPr>
        <w:pStyle w:val="BodyText"/>
      </w:pPr>
      <w:r>
        <w:rPr>
          <w:b/>
          <w:bCs/>
        </w:rPr>
        <w:t xml:space="preserve">Format.</w:t>
      </w:r>
      <w:r>
        <w:t xml:space="preserve"> </w:t>
      </w:r>
      <w:r>
        <w:t xml:space="preserve">The manuscript uses the journal’s structured abstract (297 words), with 25</w:t>
      </w:r>
      <w:r>
        <w:t xml:space="preserve"> </w:t>
      </w:r>
      <w:r>
        <w:t xml:space="preserve">supporting figures (Appendix S1) and 28 supporting tables (Appendix S2), numbered in order</w:t>
      </w:r>
      <w:r>
        <w:t xml:space="preserve"> </w:t>
      </w:r>
      <w:r>
        <w:t xml:space="preserve">of first citation. AI use in this work is disclosed in the manuscript, as Wiley policy</w:t>
      </w:r>
      <w:r>
        <w:t xml:space="preserve"> </w:t>
      </w:r>
      <w:r>
        <w:t xml:space="preserve">requires.</w:t>
      </w:r>
    </w:p>
    <w:p>
      <w:pPr>
        <w:pStyle w:val="BodyText"/>
      </w:pPr>
      <w:r>
        <w:rPr>
          <w:b/>
          <w:bCs/>
        </w:rPr>
        <w:t xml:space="preserve">Data and code.</w:t>
      </w:r>
      <w:r>
        <w:t xml:space="preserve"> </w:t>
      </w:r>
      <w:r>
        <w:t xml:space="preserve">All code, documentation, figures and aggregated per-cell results are</w:t>
      </w:r>
      <w:r>
        <w:t xml:space="preserve"> </w:t>
      </w:r>
      <w:r>
        <w:t xml:space="preserve">public. IUCN Red List and BirdLife range polygons may not be redistributed, so the</w:t>
      </w:r>
      <w:r>
        <w:t xml:space="preserve"> </w:t>
      </w:r>
      <w:r>
        <w:t xml:space="preserve">species-by-cell matrices are excluded; the scripts rebuild them from the original public</w:t>
      </w:r>
      <w:r>
        <w:t xml:space="preserve"> </w:t>
      </w:r>
      <w:r>
        <w:t xml:space="preserve">sources with a fixed random seed.</w:t>
      </w:r>
    </w:p>
    <w:p>
      <w:pPr>
        <w:pStyle w:val="BodyText"/>
      </w:pPr>
      <w:r>
        <w:t xml:space="preserve">The manuscript is original, is not under consideration elsewhere, and all data sources are</w:t>
      </w:r>
      <w:r>
        <w:t xml:space="preserve"> </w:t>
      </w:r>
      <w:r>
        <w:t xml:space="preserve">credited. The author declares no conflict of interest.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rPr>
          <w:b/>
          <w:bCs/>
        </w:rPr>
        <w:t xml:space="preserve">Chenchen Ding</w:t>
      </w:r>
      <w:r>
        <w:t xml:space="preserve"> </w:t>
      </w:r>
      <w:r>
        <w:t xml:space="preserve">School of Life Sciences, Peking University, Beijing 100871, China</w:t>
      </w:r>
      <w:r>
        <w:t xml:space="preserve"> </w:t>
      </w:r>
      <w:r>
        <w:t xml:space="preserve">jialeding1220@gmail.com</w:t>
      </w:r>
    </w:p>
    <w:p>
      <w:r>
        <w:pict>
          <v:rect style="width:0;height:1.5pt" o:hralign="center" o:hrstd="t" o:hr="t"/>
        </w:pict>
      </w:r>
    </w:p>
    <w:bookmarkStart w:id="9" w:name="X37d29f29d8189343d24b0961bbefd362580a63b"/>
    <w:p>
      <w:pPr>
        <w:pStyle w:val="Heading2"/>
      </w:pPr>
      <w:r>
        <w:rPr>
          <w:rFonts w:hint="eastAsia"/>
        </w:rPr>
        <w:t xml:space="preserve">〔投稿前需作者填写</w:t>
      </w:r>
      <w:r>
        <w:t xml:space="preserve"> / to be completed before submission〕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Suggested reviewers (3–5)</w:t>
      </w:r>
      <w:r>
        <w:t xml:space="preserve">; check each for conflicts (co-authorship within 5 years,</w:t>
      </w:r>
      <w:r>
        <w:t xml:space="preserve"> </w:t>
      </w:r>
      <w:r>
        <w:t xml:space="preserve">shared institution, shared funding).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Funding statement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ORCID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Archived-release DOI</w:t>
      </w:r>
      <w:r>
        <w:t xml:space="preserve"> </w:t>
      </w:r>
      <w:r>
        <w:t xml:space="preserve">(Zenodo), pasted into the Data availability statement.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AI-use disclosure</w:t>
      </w:r>
      <w:r>
        <w:t xml:space="preserve"> </w:t>
      </w:r>
      <w:r>
        <w:t xml:space="preserve">— write the final statement in the manuscript’s</w:t>
      </w:r>
      <w:r>
        <w:t xml:space="preserve"> </w:t>
      </w:r>
      <w:r>
        <w:t xml:space="preserve">“Use of AI technology”</w:t>
      </w:r>
      <w:r>
        <w:t xml:space="preserve"> </w:t>
      </w:r>
      <w:r>
        <w:t xml:space="preserve">section against Wiley’s policy (facts and a draft in</w:t>
      </w:r>
      <w:r>
        <w:t xml:space="preserve"> </w:t>
      </w:r>
      <w:r>
        <w:rPr>
          <w:rStyle w:val="VerbatimChar"/>
        </w:rPr>
        <w:t xml:space="preserve">05_statements/AI_use_disclosure.md</w:t>
      </w:r>
      <w:r>
        <w:t xml:space="preserve">);</w:t>
      </w:r>
      <w:r>
        <w:t xml:space="preserve"> </w:t>
      </w:r>
      <w:r>
        <w:t xml:space="preserve">this letter refers to it.</w:t>
      </w:r>
    </w:p>
    <w:p>
      <w:pPr>
        <w:pStyle w:val="Compact"/>
        <w:numPr>
          <w:ilvl w:val="0"/>
          <w:numId w:val="1002"/>
        </w:numPr>
      </w:pPr>
      <w:r>
        <w:t xml:space="preserve">Check the submission system for any</w:t>
      </w:r>
      <w:r>
        <w:t xml:space="preserve"> </w:t>
      </w:r>
      <w:r>
        <w:rPr>
          <w:i/>
          <w:iCs/>
        </w:rPr>
        <w:t xml:space="preserve">GEB</w:t>
      </w:r>
      <w:r>
        <w:t xml:space="preserve">-specific items not verified here (biosketch,</w:t>
      </w:r>
      <w:r>
        <w:t xml:space="preserve"> </w:t>
      </w:r>
      <w:r>
        <w:t xml:space="preserve">keyword count, running-title length).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2026-10-10T19:21:10Z</dcterms:created>
  <dcterms:modified xsi:type="dcterms:W3CDTF">2026-10-10T19:21:10Z</dcterms:modified>
</cp:coreProperties>
</file>