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25412cf3cdbf2eeeeeb50b306843c81459f6a87"/>
    <w:p>
      <w:pPr>
        <w:pStyle w:val="Heading1"/>
      </w:pPr>
      <w:r>
        <w:t xml:space="preserve">Thermoregulatory mode sets the strength of environmental filtering on vertebrate assemblage traits, and leaves a directional conservation gap</w:t>
      </w:r>
    </w:p>
    <w:p>
      <w:pPr>
        <w:pStyle w:val="FirstParagraph"/>
      </w:pPr>
      <w:r>
        <w:rPr>
          <w:b/>
          <w:bCs/>
        </w:rPr>
        <w:t xml:space="preserve">Chenchen Ding</w:t>
      </w:r>
    </w:p>
    <w:p>
      <w:pPr>
        <w:pStyle w:val="BodyText"/>
      </w:pPr>
      <w:r>
        <w:t xml:space="preserve">School of Life Sciences, Peking University, Beijing 100871, China</w:t>
      </w:r>
      <w:r>
        <w:t xml:space="preserve"> </w:t>
      </w:r>
      <w:r>
        <w:t xml:space="preserve">Correspondence: jialeding1220@gmail.com</w:t>
      </w:r>
    </w:p>
    <w:p>
      <w:pPr>
        <w:pStyle w:val="BodyText"/>
      </w:pPr>
      <w:r>
        <w:rPr>
          <w:b/>
          <w:bCs/>
        </w:rPr>
        <w:t xml:space="preserve">Running title</w:t>
      </w:r>
      <w:r>
        <w:t xml:space="preserve"> </w:t>
      </w:r>
      <w:r>
        <w:t xml:space="preserve">Thermal mode and vertebrate trait biogeography</w:t>
      </w:r>
    </w:p>
    <w:p>
      <w:pPr>
        <w:pStyle w:val="BodyText"/>
      </w:pPr>
      <w:r>
        <w:rPr>
          <w:b/>
          <w:bCs/>
        </w:rPr>
        <w:t xml:space="preserve">Word count</w:t>
      </w:r>
      <w:r>
        <w:t xml:space="preserve"> </w:t>
      </w:r>
      <w:r>
        <w:t xml:space="preserve">Main text ~5,400 | Figures 8 | Extended Data figures 25 | References 48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Trait-based biogeography routinely collapses many traits into one composite axis</w:t>
      </w:r>
      <w:r>
        <w:t xml:space="preserve"> </w:t>
      </w:r>
      <w:r>
        <w:t xml:space="preserve">and asks which environmental gradient explains it. We show that both steps</w:t>
      </w:r>
      <w:r>
        <w:t xml:space="preserve"> </w:t>
      </w:r>
      <w:r>
        <w:t xml:space="preserve">discard information, and that what is discarded matters for conservation. Using</w:t>
      </w:r>
      <w:r>
        <w:t xml:space="preserve"> </w:t>
      </w:r>
      <w:r>
        <w:t xml:space="preserve">2,837 species of Chinese terrestrial vertebrates across 3,782 50-km cells — 2,595</w:t>
      </w:r>
      <w:r>
        <w:t xml:space="preserve"> </w:t>
      </w:r>
      <w:r>
        <w:t xml:space="preserve">of them with complete trait data — we</w:t>
      </w:r>
      <w:r>
        <w:t xml:space="preserve"> </w:t>
      </w:r>
      <w:r>
        <w:t xml:space="preserve">define three functional axes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— body size, slow–fast pace of life and</w:t>
      </w:r>
      <w:r>
        <w:t xml:space="preserve"> </w:t>
      </w:r>
      <w:r>
        <w:t xml:space="preserve">niche breadth — so each axis denotes the same quantity in birds, mammals,</w:t>
      </w:r>
      <w:r>
        <w:t xml:space="preserve"> </w:t>
      </w:r>
      <w:r>
        <w:t xml:space="preserve">reptiles and amphibians. The axes are near-independent (|r| ≤ 0.30) and,</w:t>
      </w:r>
      <w:r>
        <w:t xml:space="preserve"> </w:t>
      </w:r>
      <w:r>
        <w:t xml:space="preserve">contrary to common practice, combining traits into a composite axis</w:t>
      </w:r>
      <w:r>
        <w:t xml:space="preserve"> </w:t>
      </w:r>
      <w:r>
        <w:rPr>
          <w:i/>
          <w:iCs/>
        </w:rPr>
        <w:t xml:space="preserve">weakens</w:t>
      </w:r>
      <w:r>
        <w:t xml:space="preserve"> </w:t>
      </w:r>
      <w:r>
        <w:t xml:space="preserve">the environmental signal in six of eight comparisons. Regressing each trait and</w:t>
      </w:r>
      <w:r>
        <w:t xml:space="preserve"> </w:t>
      </w:r>
      <w:r>
        <w:t xml:space="preserve">each axis on six named predictors, one per classical biodiversity hypothesis,</w:t>
      </w:r>
      <w:r>
        <w:t xml:space="preserve"> </w:t>
      </w:r>
      <w:r>
        <w:t xml:space="preserve">climate dominates in all four classes (unique adjusted</w:t>
      </w:r>
      <w:r>
        <w:t xml:space="preserve"> </w:t>
      </w:r>
      <w:r>
        <w:rPr>
          <w:i/>
          <w:iCs/>
        </w:rPr>
        <w:t xml:space="preserve">R</w:t>
      </w:r>
      <w:r>
        <w:t xml:space="preserve">² = 0.24–0.40), but</w:t>
      </w:r>
      <w:r>
        <w:t xml:space="preserve"> </w:t>
      </w:r>
      <w:r>
        <w:t xml:space="preserve">its strength depends on thermoregulation: ambient energy affects ectotherms</w:t>
      </w:r>
      <w:r>
        <w:t xml:space="preserve"> </w:t>
      </w:r>
      <w:r>
        <w:t xml:space="preserve">about 2.3× more strongly than endotherms, robustly across specifications</w:t>
      </w:r>
      <w:r>
        <w:t xml:space="preserve"> </w:t>
      </w:r>
      <w:r>
        <w:t xml:space="preserve">(1.98–2.63; every 95% CI excluding 1). A single negative control proved</w:t>
      </w:r>
      <w:r>
        <w:t xml:space="preserve"> </w:t>
      </w:r>
      <w:r>
        <w:t xml:space="preserve">insufficient — heterogeneity proxies differ in how much temperature information</w:t>
      </w:r>
      <w:r>
        <w:t xml:space="preserve"> </w:t>
      </w:r>
      <w:r>
        <w:t xml:space="preserve">they carry — so we tested the prediction as a trend instead: the ectotherm</w:t>
      </w:r>
      <w:r>
        <w:t xml:space="preserve"> </w:t>
      </w:r>
      <w:r>
        <w:t xml:space="preserve">excess scales with a predictor’s thermal content (Spearman ρ = 0.74,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</w:t>
      </w:r>
      <w:r>
        <w:t xml:space="preserve"> </w:t>
      </w:r>
      <w:r>
        <w:t xml:space="preserve">0.037, eight predictors). Ectotherms nonetheless respond more strongly to five</w:t>
      </w:r>
      <w:r>
        <w:t xml:space="preserve"> </w:t>
      </w:r>
      <w:r>
        <w:t xml:space="preserve">of six predictors, so we report thermal buffering as partially supported rather</w:t>
      </w:r>
      <w:r>
        <w:t xml:space="preserve"> </w:t>
      </w:r>
      <w:r>
        <w:t xml:space="preserve">than established. All associations were re-tested with the fourth-corner</w:t>
      </w:r>
      <w:r>
        <w:t xml:space="preserve"> </w:t>
      </w:r>
      <w:r>
        <w:t xml:space="preserve">max test, which shows naive community-weighted-mean regression inflates</w:t>
      </w:r>
      <w:r>
        <w:t xml:space="preserve"> </w:t>
      </w:r>
      <w:r>
        <w:t xml:space="preserve">significance by 1.27–1.72×. Applying the framework to spatial planning, China’s</w:t>
      </w:r>
      <w:r>
        <w:t xml:space="preserve"> </w:t>
      </w:r>
      <w:r>
        <w:t xml:space="preserve">nature reserves occupy 10.36% of the land yet leave only 2.9% of species and</w:t>
      </w:r>
      <w:r>
        <w:t xml:space="preserve"> </w:t>
      </w:r>
      <w:r>
        <w:t xml:space="preserve">1.5% of functional bins at the Kunming–Montreal target of 30% of range</w:t>
      </w:r>
      <w:r>
        <w:t xml:space="preserve"> </w:t>
      </w:r>
      <w:r>
        <w:t xml:space="preserve">protected; an optimal layout of the same area would reach 50.7% and 48.0%. The</w:t>
      </w:r>
      <w:r>
        <w:t xml:space="preserve"> </w:t>
      </w:r>
      <w:r>
        <w:t xml:space="preserve">shortfall is directional: the body-size effect reverses between mammals (+0.283)</w:t>
      </w:r>
      <w:r>
        <w:t xml:space="preserve"> </w:t>
      </w:r>
      <w:r>
        <w:t xml:space="preserve">and reptiles (−0.307), and amphibian gaps are nearly disjoint from those of</w:t>
      </w:r>
      <w:r>
        <w:t xml:space="preserve"> </w:t>
      </w:r>
      <w:r>
        <w:t xml:space="preserve">other classes (Jaccard 0.074–0.086 versus 0.315 between the two endotherm</w:t>
      </w:r>
      <w:r>
        <w:t xml:space="preserve"> </w:t>
      </w:r>
      <w:r>
        <w:t xml:space="preserve">classes). A model-free correlate points the same way — of 1,028 reserves, 17.9%</w:t>
      </w:r>
      <w:r>
        <w:t xml:space="preserve"> </w:t>
      </w:r>
      <w:r>
        <w:t xml:space="preserve">name mammals as a protection target against 1.1% for reptiles. We deliver the</w:t>
      </w:r>
      <w:r>
        <w:t xml:space="preserve"> </w:t>
      </w:r>
      <w:r>
        <w:t xml:space="preserve">priority cells that close these gaps.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 </w:t>
      </w:r>
      <w:r>
        <w:t xml:space="preserve">functional biogeography; community-weighted moments; thermal</w:t>
      </w:r>
      <w:r>
        <w:t xml:space="preserve"> </w:t>
      </w:r>
      <w:r>
        <w:t xml:space="preserve">buffering; fourth-corner; systematic conservation planning; Kunming–Montreal</w:t>
      </w:r>
      <w:r>
        <w:t xml:space="preserve"> </w:t>
      </w:r>
      <w:r>
        <w:t xml:space="preserve">Target 3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Three literatures converge on the question we ask, and each leaves a specific</w:t>
      </w:r>
      <w:r>
        <w:t xml:space="preserve"> </w:t>
      </w:r>
      <w:r>
        <w:t xml:space="preserve">gap.</w:t>
      </w:r>
    </w:p>
    <w:p>
      <w:pPr>
        <w:pStyle w:val="BodyText"/>
      </w:pPr>
      <w:r>
        <w:rPr>
          <w:b/>
          <w:bCs/>
        </w:rPr>
        <w:t xml:space="preserve">Trait-based community ecology</w:t>
      </w:r>
      <w:r>
        <w:t xml:space="preserve"> </w:t>
      </w:r>
      <w:r>
        <w:t xml:space="preserve">proposed replacing species identities with</w:t>
      </w:r>
      <w:r>
        <w:t xml:space="preserve"> </w:t>
      </w:r>
      <w:r>
        <w:t xml:space="preserve">comparable functional quantities (McGill et al. 2006; Violle et al. 2007), an</w:t>
      </w:r>
      <w:r>
        <w:t xml:space="preserve"> </w:t>
      </w:r>
      <w:r>
        <w:t xml:space="preserve">approach since scaled up to functional biogeography (Violle et al. 2014). For</w:t>
      </w:r>
      <w:r>
        <w:t xml:space="preserve"> </w:t>
      </w:r>
      <w:r>
        <w:t xml:space="preserve">plants it produced a widely accepted global spectrum of form and function (Díaz</w:t>
      </w:r>
      <w:r>
        <w:t xml:space="preserve"> </w:t>
      </w:r>
      <w:r>
        <w:t xml:space="preserve">et al. 2016). For terrestrial vertebrates the equivalent synthesis is still</w:t>
      </w:r>
      <w:r>
        <w:t xml:space="preserve"> </w:t>
      </w:r>
      <w:r>
        <w:t xml:space="preserve">forming, and studies typically summarise traits with a within-class principal</w:t>
      </w:r>
      <w:r>
        <w:t xml:space="preserve"> </w:t>
      </w:r>
      <w:r>
        <w:t xml:space="preserve">component analysis. That step carries an unremarked cost: the first principal</w:t>
      </w:r>
      <w:r>
        <w:t xml:space="preserve"> </w:t>
      </w:r>
      <w:r>
        <w:t xml:space="preserve">component denotes different quantities in different classes. In our data PC1 is</w:t>
      </w:r>
      <w:r>
        <w:t xml:space="preserve"> </w:t>
      </w:r>
      <w:r>
        <w:t xml:space="preserve">dominated by niche breadth in birds and amphibians, by body size and fecundity</w:t>
      </w:r>
      <w:r>
        <w:t xml:space="preserve"> </w:t>
      </w:r>
      <w:r>
        <w:t xml:space="preserve">in reptiles, and by vertical stratum use in mammals (Extended Data Fig. 21).</w:t>
      </w:r>
      <w:r>
        <w:t xml:space="preserve"> </w:t>
      </w:r>
      <w:r>
        <w:t xml:space="preserve">Comparing</w:t>
      </w:r>
      <w:r>
        <w:t xml:space="preserve"> </w:t>
      </w:r>
      <w:r>
        <w:t xml:space="preserve">“PC1”</w:t>
      </w:r>
      <w:r>
        <w:t xml:space="preserve"> </w:t>
      </w:r>
      <w:r>
        <w:t xml:space="preserve">across classes therefore compares four different things.</w:t>
      </w:r>
    </w:p>
    <w:p>
      <w:pPr>
        <w:pStyle w:val="BodyText"/>
      </w:pPr>
      <w:r>
        <w:rPr>
          <w:b/>
          <w:bCs/>
        </w:rPr>
        <w:t xml:space="preserve">Hypotheses for broad-scale diversity gradients</w:t>
      </w:r>
      <w:r>
        <w:t xml:space="preserve"> </w:t>
      </w:r>
      <w:r>
        <w:t xml:space="preserve">— ambient energy, water–energy</w:t>
      </w:r>
      <w:r>
        <w:t xml:space="preserve"> </w:t>
      </w:r>
      <w:r>
        <w:t xml:space="preserve">dynamics, productivity, habitat heterogeneity and climatic seasonality — have</w:t>
      </w:r>
      <w:r>
        <w:t xml:space="preserve"> </w:t>
      </w:r>
      <w:r>
        <w:t xml:space="preserve">been contrasted for three decades (Wright 1983; O’Brien 1998; Kerr &amp; Packer</w:t>
      </w:r>
      <w:r>
        <w:t xml:space="preserve"> </w:t>
      </w:r>
      <w:r>
        <w:t xml:space="preserve">1997; Hawkins et al. 2003; Currie et al. 2004). Almost all of that work takes</w:t>
      </w:r>
      <w:r>
        <w:t xml:space="preserve"> </w:t>
      </w:r>
      <w:r>
        <w:rPr>
          <w:b/>
          <w:bCs/>
        </w:rPr>
        <w:t xml:space="preserve">species richness</w:t>
      </w:r>
      <w:r>
        <w:t xml:space="preserve"> </w:t>
      </w:r>
      <w:r>
        <w:t xml:space="preserve">as the response. Whether the same hypotheses explain</w:t>
      </w:r>
      <w:r>
        <w:t xml:space="preserve"> </w:t>
      </w:r>
      <w:r>
        <w:rPr>
          <w:b/>
          <w:bCs/>
        </w:rPr>
        <w:t xml:space="preserve">trait composition</w:t>
      </w:r>
      <w:r>
        <w:t xml:space="preserve">, and whether they apply equally to endotherms and</w:t>
      </w:r>
      <w:r>
        <w:t xml:space="preserve"> </w:t>
      </w:r>
      <w:r>
        <w:t xml:space="preserve">ectotherms, has not been tested systematically. A parallel thermal-biology</w:t>
      </w:r>
      <w:r>
        <w:t xml:space="preserve"> </w:t>
      </w:r>
      <w:r>
        <w:t xml:space="preserve">literature supplies a reason to expect they do not: ectotherm body temperature</w:t>
      </w:r>
      <w:r>
        <w:t xml:space="preserve"> </w:t>
      </w:r>
      <w:r>
        <w:t xml:space="preserve">tracks environmental temperature directly (Deutsch et al. 2008; Buckley et al.</w:t>
      </w:r>
      <w:r>
        <w:t xml:space="preserve"> </w:t>
      </w:r>
      <w:r>
        <w:t xml:space="preserve">2012; Sunday et al. 2014), so ambient energy should filter ectotherm assemblages</w:t>
      </w:r>
      <w:r>
        <w:t xml:space="preserve"> </w:t>
      </w:r>
      <w:r>
        <w:t xml:space="preserve">more strongly. This yields a prediction that can fail — the asymmetry should be</w:t>
      </w:r>
      <w:r>
        <w:t xml:space="preserve"> </w:t>
      </w:r>
      <w:r>
        <w:t xml:space="preserve">specific to thermally loaded predictors.</w:t>
      </w:r>
    </w:p>
    <w:p>
      <w:pPr>
        <w:pStyle w:val="BodyText"/>
      </w:pPr>
      <w:r>
        <w:rPr>
          <w:b/>
          <w:bCs/>
        </w:rPr>
        <w:t xml:space="preserve">Systematic conservation planning</w:t>
      </w:r>
      <w:r>
        <w:t xml:space="preserve"> </w:t>
      </w:r>
      <w:r>
        <w:t xml:space="preserve">has used complementarity since Margules &amp;</w:t>
      </w:r>
      <w:r>
        <w:t xml:space="preserve"> </w:t>
      </w:r>
      <w:r>
        <w:t xml:space="preserve">Pressey (2000) and has begun to incorporate phylogenetic and functional</w:t>
      </w:r>
      <w:r>
        <w:t xml:space="preserve"> </w:t>
      </w:r>
      <w:r>
        <w:t xml:space="preserve">dimensions (Brum et al. 2017; Pollock et al. 2017). The Kunming–Montreal Global</w:t>
      </w:r>
      <w:r>
        <w:t xml:space="preserve"> </w:t>
      </w:r>
      <w:r>
        <w:t xml:space="preserve">Biodiversity Framework’s Target 3 has made the question concrete and urgent.</w:t>
      </w:r>
      <w:r>
        <w:t xml:space="preserve"> </w:t>
      </w:r>
      <w:r>
        <w:t xml:space="preserve">Yet the two closest antecedents to this study — Huang et al. (2023) and Sun et</w:t>
      </w:r>
      <w:r>
        <w:t xml:space="preserve"> </w:t>
      </w:r>
      <w:r>
        <w:t xml:space="preserve">al. (2025), which established the framework for Chinese vertebrate trait</w:t>
      </w:r>
      <w:r>
        <w:t xml:space="preserve"> </w:t>
      </w:r>
      <w:r>
        <w:t xml:space="preserve">biogeography — stop at pattern and driver. Neither asks whether a</w:t>
      </w:r>
      <w:r>
        <w:t xml:space="preserve"> </w:t>
      </w:r>
      <w:r>
        <w:t xml:space="preserve">species-currency network leaves a</w:t>
      </w:r>
      <w:r>
        <w:t xml:space="preserve"> </w:t>
      </w:r>
      <w:r>
        <w:rPr>
          <w:b/>
          <w:bCs/>
        </w:rPr>
        <w:t xml:space="preserve">predictably directional</w:t>
      </w:r>
      <w:r>
        <w:t xml:space="preserve"> </w:t>
      </w:r>
      <w:r>
        <w:t xml:space="preserve">functional gap,</w:t>
      </w:r>
      <w:r>
        <w:t xml:space="preserve"> </w:t>
      </w:r>
      <w:r>
        <w:t xml:space="preserve">nor delivers the spatial layer that would close it.</w:t>
      </w:r>
    </w:p>
    <w:p>
      <w:pPr>
        <w:pStyle w:val="BodyText"/>
      </w:pPr>
      <w:r>
        <w:t xml:space="preserve">China suits these questions. Its environmental gradient spans tropical to boreal</w:t>
      </w:r>
      <w:r>
        <w:t xml:space="preserve"> </w:t>
      </w:r>
      <w:r>
        <w:t xml:space="preserve">and sea level to 8,000 m within one country, so energy and water can be</w:t>
      </w:r>
      <w:r>
        <w:t xml:space="preserve"> </w:t>
      </w:r>
      <w:r>
        <w:t xml:space="preserve">separated; four vertebrate classes are sympatric under sound taxonomy, so the</w:t>
      </w:r>
      <w:r>
        <w:t xml:space="preserve"> </w:t>
      </w:r>
      <w:r>
        <w:t xml:space="preserve">endotherm–ectotherm contrast can be drawn under one set of environments; and</w:t>
      </w:r>
      <w:r>
        <w:t xml:space="preserve"> </w:t>
      </w:r>
      <w:r>
        <w:t xml:space="preserve">recently published Chinese trait datasets give ectotherms a usable baseline for</w:t>
      </w:r>
      <w:r>
        <w:t xml:space="preserve"> </w:t>
      </w:r>
      <w:r>
        <w:t xml:space="preserve">the first time (Song et al. 2022; Zhong et al. 2022; Wang et al. 2023; Ding et</w:t>
      </w:r>
      <w:r>
        <w:t xml:space="preserve"> </w:t>
      </w:r>
      <w:r>
        <w:t xml:space="preserve">al. 2022).</w:t>
      </w:r>
    </w:p>
    <w:p>
      <w:pPr>
        <w:pStyle w:val="BodyText"/>
      </w:pPr>
      <w:r>
        <w:t xml:space="preserve">We ask three questions and state three hypotheses with their refutation</w:t>
      </w:r>
      <w:r>
        <w:t xml:space="preserve"> </w:t>
      </w:r>
      <w:r>
        <w:t xml:space="preserve">conditions in advance (Supplementary Table S0).</w:t>
      </w:r>
    </w:p>
    <w:p>
      <w:pPr>
        <w:pStyle w:val="BodyText"/>
      </w:pPr>
      <w:r>
        <w:rPr>
          <w:b/>
          <w:bCs/>
        </w:rPr>
        <w:t xml:space="preserve">Q1 (Dimensions).</w:t>
      </w:r>
      <w:r>
        <w:t xml:space="preserve"> </w:t>
      </w:r>
      <w:r>
        <w:t xml:space="preserve">Is assemblage trait structure one dimension or several, and</w:t>
      </w:r>
      <w:r>
        <w:t xml:space="preserve"> </w:t>
      </w:r>
      <w:r>
        <w:t xml:space="preserve">does combining traits into composite axes help or hurt?</w:t>
      </w:r>
      <w:r>
        <w:t xml:space="preserve"> </w:t>
      </w:r>
      <w:r>
        <w:rPr>
          <w:i/>
          <w:iCs/>
        </w:rPr>
        <w:t xml:space="preserve">H1:</w:t>
      </w:r>
      <w:r>
        <w:t xml:space="preserve"> </w:t>
      </w:r>
      <w:r>
        <w:t xml:space="preserve">body size, pace of life and niche breadth are separable dimensions that</w:t>
      </w:r>
      <w:r>
        <w:t xml:space="preserve"> </w:t>
      </w:r>
      <w:r>
        <w:t xml:space="preserve">respond to different gradients.</w:t>
      </w:r>
      <w:r>
        <w:t xml:space="preserve"> </w:t>
      </w:r>
      <w:r>
        <w:rPr>
          <w:i/>
          <w:iCs/>
        </w:rPr>
        <w:t xml:space="preserve">Refuted if</w:t>
      </w:r>
      <w:r>
        <w:t xml:space="preserve"> </w:t>
      </w:r>
      <w:r>
        <w:t xml:space="preserve">the axes are strongly</w:t>
      </w:r>
      <w:r>
        <w:t xml:space="preserve"> </w:t>
      </w:r>
      <w:r>
        <w:t xml:space="preserve">inter-correlated, or environmental effects are identical in sign and strength</w:t>
      </w:r>
      <w:r>
        <w:t xml:space="preserve"> </w:t>
      </w:r>
      <w:r>
        <w:t xml:space="preserve">across them.</w:t>
      </w:r>
    </w:p>
    <w:p>
      <w:pPr>
        <w:pStyle w:val="BodyText"/>
      </w:pPr>
      <w:r>
        <w:rPr>
          <w:b/>
          <w:bCs/>
        </w:rPr>
        <w:t xml:space="preserve">Q2 (Drivers).</w:t>
      </w:r>
      <w:r>
        <w:t xml:space="preserve"> </w:t>
      </w:r>
      <w:r>
        <w:t xml:space="preserve">Which biodiversity hypothesis governs assemblage trait</w:t>
      </w:r>
      <w:r>
        <w:t xml:space="preserve"> </w:t>
      </w:r>
      <w:r>
        <w:t xml:space="preserve">structure, and is its strength set by thermoregulatory mode?</w:t>
      </w:r>
      <w:r>
        <w:t xml:space="preserve"> </w:t>
      </w:r>
      <w:r>
        <w:rPr>
          <w:i/>
          <w:iCs/>
        </w:rPr>
        <w:t xml:space="preserve">H2:</w:t>
      </w:r>
      <w:r>
        <w:t xml:space="preserve"> </w:t>
      </w:r>
      <w:r>
        <w:t xml:space="preserve">endothermy buffers assemblage trait composition against thermal filtering.</w:t>
      </w:r>
      <w:r>
        <w:t xml:space="preserve"> </w:t>
      </w:r>
      <w:r>
        <w:rPr>
          <w:i/>
          <w:iCs/>
        </w:rPr>
        <w:t xml:space="preserve">Refuted if</w:t>
      </w:r>
      <w:r>
        <w:t xml:space="preserve"> </w:t>
      </w:r>
      <w:r>
        <w:t xml:space="preserve">ectotherms respond more strongly 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predictors — which would</w:t>
      </w:r>
      <w:r>
        <w:t xml:space="preserve"> </w:t>
      </w:r>
      <w:r>
        <w:t xml:space="preserve">indicate a signal-to-noise difference rather than a mechanism — or if the</w:t>
      </w:r>
      <w:r>
        <w:t xml:space="preserve"> </w:t>
      </w:r>
      <w:r>
        <w:t xml:space="preserve">asymmetry disappears under a different replication unit.</w:t>
      </w:r>
    </w:p>
    <w:p>
      <w:pPr>
        <w:pStyle w:val="BodyText"/>
      </w:pPr>
      <w:r>
        <w:rPr>
          <w:b/>
          <w:bCs/>
        </w:rPr>
        <w:t xml:space="preserve">Q3 (Design).</w:t>
      </w:r>
      <w:r>
        <w:t xml:space="preserve"> </w:t>
      </w:r>
      <w:r>
        <w:t xml:space="preserve">What does trait structure require of conservation planning?</w:t>
      </w:r>
      <w:r>
        <w:t xml:space="preserve"> </w:t>
      </w:r>
      <w:r>
        <w:rPr>
          <w:i/>
          <w:iCs/>
        </w:rPr>
        <w:t xml:space="preserve">H3:</w:t>
      </w:r>
      <w:r>
        <w:t xml:space="preserve"> </w:t>
      </w:r>
      <w:r>
        <w:t xml:space="preserve">if H1 and H2 hold, a species-currency network leaves a functional gap with</w:t>
      </w:r>
      <w:r>
        <w:t xml:space="preserve"> </w:t>
      </w:r>
      <w:r>
        <w:t xml:space="preserve">a predictable direction.</w:t>
      </w:r>
      <w:r>
        <w:t xml:space="preserve"> </w:t>
      </w:r>
      <w:r>
        <w:rPr>
          <w:i/>
          <w:iCs/>
        </w:rPr>
        <w:t xml:space="preserve">Refuted if</w:t>
      </w:r>
      <w:r>
        <w:t xml:space="preserve"> </w:t>
      </w:r>
      <w:r>
        <w:t xml:space="preserve">axis coefficients scatter around zero, or</w:t>
      </w:r>
      <w:r>
        <w:t xml:space="preserve"> </w:t>
      </w:r>
      <w:r>
        <w:t xml:space="preserve">if significance vanishes once range size is controlled, or if different target</w:t>
      </w:r>
      <w:r>
        <w:t xml:space="preserve"> </w:t>
      </w:r>
      <w:r>
        <w:t xml:space="preserve">currencies select the same places.</w:t>
      </w:r>
    </w:p>
    <w:p>
      <w:r>
        <w:pict>
          <v:rect style="width:0;height:1.5pt" o:hralign="center" o:hrstd="t" o:hr="t"/>
        </w:pict>
      </w:r>
    </w:p>
    <w:bookmarkEnd w:id="10"/>
    <w:bookmarkStart w:id="20" w:name="materials-and-methods"/>
    <w:p>
      <w:pPr>
        <w:pStyle w:val="Heading2"/>
      </w:pPr>
      <w:r>
        <w:t xml:space="preserve">2. Materials and Methods</w:t>
      </w:r>
    </w:p>
    <w:bookmarkStart w:id="11" w:name="analysis-units"/>
    <w:p>
      <w:pPr>
        <w:pStyle w:val="Heading3"/>
      </w:pPr>
      <w:r>
        <w:t xml:space="preserve">2.1 Analysis units</w:t>
      </w:r>
    </w:p>
    <w:p>
      <w:pPr>
        <w:pStyle w:val="FirstParagraph"/>
      </w:pPr>
      <w:r>
        <w:t xml:space="preserve">We used 3,782 land-intersecting cells on a 50-km grid in China Albers</w:t>
      </w:r>
      <w:r>
        <w:t xml:space="preserve"> </w:t>
      </w:r>
      <w:r>
        <w:t xml:space="preserve">equal-area conic projection (</w:t>
      </w:r>
      <w:r>
        <w:rPr>
          <w:rStyle w:val="VerbatimChar"/>
        </w:rPr>
        <w:t xml:space="preserve">+proj=aea +lat_0=0 +lon_0=110 +lat_1=25 +lat_2=47</w:t>
      </w:r>
      <w:r>
        <w:t xml:space="preserve">), with a 957-cell 100-km grid as a grain check. Thirty-two cells</w:t>
      </w:r>
      <w:r>
        <w:t xml:space="preserve"> </w:t>
      </w:r>
      <w:r>
        <w:t xml:space="preserve">falling inside the South China Sea inset frame of the standard national basemap</w:t>
      </w:r>
      <w:r>
        <w:t xml:space="preserve"> </w:t>
      </w:r>
      <w:r>
        <w:t xml:space="preserve">were flagged and excluded from all analyses: they pair correct species lists</w:t>
      </w:r>
      <w:r>
        <w:t xml:space="preserve"> </w:t>
      </w:r>
      <w:r>
        <w:t xml:space="preserve">with Pacific-Ocean climate. Cells were flagged rather than deleted so that cell</w:t>
      </w:r>
      <w:r>
        <w:t xml:space="preserve"> </w:t>
      </w:r>
      <w:r>
        <w:t xml:space="preserve">identifiers remain stable across all derived files.</w:t>
      </w:r>
    </w:p>
    <w:bookmarkEnd w:id="11"/>
    <w:bookmarkStart w:id="12" w:name="species-distributions"/>
    <w:p>
      <w:pPr>
        <w:pStyle w:val="Heading3"/>
      </w:pPr>
      <w:r>
        <w:t xml:space="preserve">2.2 Species distributions</w:t>
      </w:r>
    </w:p>
    <w:p>
      <w:pPr>
        <w:pStyle w:val="FirstParagraph"/>
      </w:pPr>
      <w:r>
        <w:t xml:space="preserve">Expert range maps (IUCN Red List; BirdLife International) were rasterised to the</w:t>
      </w:r>
      <w:r>
        <w:t xml:space="preserve"> </w:t>
      </w:r>
      <w:r>
        <w:t xml:space="preserve">grid, giving 1,177 birds, 631 mammals, 520 reptiles and 509 amphibians in the</w:t>
      </w:r>
      <w:r>
        <w:t xml:space="preserve"> </w:t>
      </w:r>
      <w:r>
        <w:t xml:space="preserve">assemblage matrix (2,837 species). Of these, 2,595 (1,086 birds, 599 mammals,</w:t>
      </w:r>
      <w:r>
        <w:t xml:space="preserve"> </w:t>
      </w:r>
      <w:r>
        <w:t xml:space="preserve">472 reptiles, 438 amphibians) have complete values for all six core traits and</w:t>
      </w:r>
      <w:r>
        <w:t xml:space="preserve"> </w:t>
      </w:r>
      <w:r>
        <w:t xml:space="preserve">therefore carry functional-axis scores; assemblage moments are computed from</w:t>
      </w:r>
      <w:r>
        <w:t xml:space="preserve"> </w:t>
      </w:r>
      <w:r>
        <w:t xml:space="preserve">this subset, and the two counts are kept distinct throughout. Range maps overstate local occupancy; we use them because</w:t>
      </w:r>
      <w:r>
        <w:t xml:space="preserve"> </w:t>
      </w:r>
      <w:r>
        <w:t xml:space="preserve">they are the basis on which the two antecedent studies are comparable, and we</w:t>
      </w:r>
      <w:r>
        <w:t xml:space="preserve"> </w:t>
      </w:r>
      <w:r>
        <w:t xml:space="preserve">validate the main conclusions against assemblages rebuilt from GBIF occurrence</w:t>
      </w:r>
      <w:r>
        <w:t xml:space="preserve"> </w:t>
      </w:r>
      <w:r>
        <w:t xml:space="preserve">records (Extended Data Figs 17–18). Assemblage moments were computed only for</w:t>
      </w:r>
      <w:r>
        <w:t xml:space="preserve"> </w:t>
      </w:r>
      <w:r>
        <w:t xml:space="preserve">cells holding ≥5 species of a class, so the maps are blank where fewer species</w:t>
      </w:r>
      <w:r>
        <w:t xml:space="preserve"> </w:t>
      </w:r>
      <w:r>
        <w:t xml:space="preserve">occur; in the far west only 2.6% of cells reach five amphibian species, and the</w:t>
      </w:r>
      <w:r>
        <w:t xml:space="preserve"> </w:t>
      </w:r>
      <w:r>
        <w:t xml:space="preserve">resulting blanks are not absences.</w:t>
      </w:r>
    </w:p>
    <w:bookmarkEnd w:id="12"/>
    <w:bookmarkStart w:id="13" w:name="traits-and-the-three-functional-axes"/>
    <w:p>
      <w:pPr>
        <w:pStyle w:val="Heading3"/>
      </w:pPr>
      <w:r>
        <w:t xml:space="preserve">2.3 Traits and the three functional axes</w:t>
      </w:r>
    </w:p>
    <w:p>
      <w:pPr>
        <w:pStyle w:val="FirstParagraph"/>
      </w:pPr>
      <w:r>
        <w:t xml:space="preserve">Six core traits entered the analysis: body size, fecundity, nocturnality,</w:t>
      </w:r>
      <w:r>
        <w:t xml:space="preserve"> </w:t>
      </w:r>
      <w:r>
        <w:t xml:space="preserve">vertical stratum use, habitat breadth and range size.</w:t>
      </w:r>
      <w:r>
        <w:t xml:space="preserve"> </w:t>
      </w:r>
      <w:r>
        <w:rPr>
          <w:b/>
          <w:bCs/>
        </w:rPr>
        <w:t xml:space="preserve">One size measure per</w:t>
      </w:r>
      <w:r>
        <w:rPr>
          <w:b/>
          <w:bCs/>
        </w:rP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— body mass for endotherms, body length for ectotherms — because mixing</w:t>
      </w:r>
      <w:r>
        <w:t xml:space="preserve"> </w:t>
      </w:r>
      <w:r>
        <w:t xml:space="preserve">the two makes</w:t>
      </w:r>
      <w:r>
        <w:t xml:space="preserve"> </w:t>
      </w:r>
      <w:r>
        <w:t xml:space="preserve">“size”</w:t>
      </w:r>
      <w:r>
        <w:t xml:space="preserve"> </w:t>
      </w:r>
      <w:r>
        <w:t xml:space="preserve">a different quantity in different classes and invalidates</w:t>
      </w:r>
      <w:r>
        <w:t xml:space="preserve"> </w:t>
      </w:r>
      <w:r>
        <w:t xml:space="preserve">cross-class comparison. Observed coverage is 100% for size, nocturnality,</w:t>
      </w:r>
      <w:r>
        <w:t xml:space="preserve"> </w:t>
      </w:r>
      <w:r>
        <w:t xml:space="preserve">vertical stratum use, habitat breadth and range size in all four classes.</w:t>
      </w:r>
    </w:p>
    <w:p>
      <w:pPr>
        <w:pStyle w:val="BodyText"/>
      </w:pPr>
      <w:r>
        <w:t xml:space="preserve">Life-history coverage was audited before use (Supplementary Table 36).</w:t>
      </w:r>
      <w:r>
        <w:t xml:space="preserve"> </w:t>
      </w:r>
      <w:r>
        <w:t xml:space="preserve">Generation length exists only for endotherms (birds 80.8%, mammals 92.2%);</w:t>
      </w:r>
      <w:r>
        <w:t xml:space="preserve"> </w:t>
      </w:r>
      <w:r>
        <w:t xml:space="preserve">ectotherm age at maturity and longevity are 7–24% observed.</w:t>
      </w:r>
      <w:r>
        <w:t xml:space="preserve"> </w:t>
      </w:r>
      <w:r>
        <w:rPr>
          <w:b/>
          <w:bCs/>
        </w:rPr>
        <w:t xml:space="preserve">Fecundity is the</w:t>
      </w:r>
      <w:r>
        <w:rPr>
          <w:b/>
          <w:bCs/>
        </w:rPr>
        <w:t xml:space="preserve"> </w:t>
      </w:r>
      <w:r>
        <w:rPr>
          <w:b/>
          <w:bCs/>
        </w:rPr>
        <w:t xml:space="preserve">only fast–slow component usable across all four classes</w:t>
      </w:r>
      <w:r>
        <w:t xml:space="preserve"> </w:t>
      </w:r>
      <w:r>
        <w:t xml:space="preserve">(reptiles 66.9%,</w:t>
      </w:r>
      <w:r>
        <w:t xml:space="preserve"> </w:t>
      </w:r>
      <w:r>
        <w:t xml:space="preserve">amphibians 60.0%, birds and mammals 100%), integrating ReptTraits (Oskyrko et</w:t>
      </w:r>
      <w:r>
        <w:t xml:space="preserve"> </w:t>
      </w:r>
      <w:r>
        <w:t xml:space="preserve">al. 2024), Wang et al. (2023) for snakes, Zhong et al. (2022) for lizards,</w:t>
      </w:r>
      <w:r>
        <w:t xml:space="preserve"> </w:t>
      </w:r>
      <w:r>
        <w:t xml:space="preserve">AmphiBIO (Oliveira et al. 2017), Song et al. (2022), Etard et al. (2020) and</w:t>
      </w:r>
      <w:r>
        <w:t xml:space="preserve"> </w:t>
      </w:r>
      <w:r>
        <w:t xml:space="preserve">COMBINE (Soria et al. 2021). Remaining gaps were imputed with missForest</w:t>
      </w:r>
      <w:r>
        <w:t xml:space="preserve"> </w:t>
      </w:r>
      <w:r>
        <w:t xml:space="preserve">(Stekhoven &amp; Bühlmann 2012) using phylogenetic eigenvectors and the other</w:t>
      </w:r>
      <w:r>
        <w:t xml:space="preserve"> </w:t>
      </w:r>
      <w:r>
        <w:t xml:space="preserve">traits; traits below 30% observed are reported but excluded from core analyses</w:t>
      </w:r>
      <w:r>
        <w:t xml:space="preserve"> </w:t>
      </w:r>
      <w:r>
        <w:t xml:space="preserve">by default.</w:t>
      </w:r>
    </w:p>
    <w:p>
      <w:pPr>
        <w:pStyle w:val="BodyText"/>
      </w:pPr>
      <w:r>
        <w:t xml:space="preserve">Three axes were defined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so each denotes the same quantity in every</w:t>
      </w:r>
      <w:r>
        <w:t xml:space="preserve"> </w:t>
      </w:r>
      <w:r>
        <w:t xml:space="preserve">class: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body size</w:t>
            </w:r>
          </w:p>
        </w:tc>
        <w:tc>
          <w:tcPr/>
          <w:p>
            <w:pPr>
              <w:pStyle w:val="Compact"/>
            </w:pPr>
            <w:r>
              <w:t xml:space="preserve">body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PACE</w:t>
            </w:r>
          </w:p>
        </w:tc>
        <w:tc>
          <w:tcPr/>
          <w:p>
            <w:pPr>
              <w:pStyle w:val="Compact"/>
            </w:pPr>
            <w:r>
              <w:t xml:space="preserve">−residual(fecundity ~ size)</w:t>
            </w:r>
          </w:p>
        </w:tc>
        <w:tc>
          <w:tcPr/>
          <w:p>
            <w:pPr>
              <w:pStyle w:val="Compact"/>
            </w:pPr>
            <w:r>
              <w:t xml:space="preserve">fewer or more offspring than size predicts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NICHE</w:t>
            </w:r>
          </w:p>
        </w:tc>
        <w:tc>
          <w:tcPr/>
          <w:p>
            <w:pPr>
              <w:pStyle w:val="Compact"/>
            </w:pPr>
            <w:r>
              <w:t xml:space="preserve">habitat breadth (+) and range size (+)</w:t>
            </w:r>
          </w:p>
        </w:tc>
        <w:tc>
          <w:tcPr/>
          <w:p>
            <w:pPr>
              <w:pStyle w:val="Compact"/>
            </w:pPr>
            <w:r>
              <w:t xml:space="preserve">niche breadth, narrow → broad</w:t>
            </w:r>
          </w:p>
        </w:tc>
      </w:tr>
    </w:tbl>
    <w:p>
      <w:pPr>
        <w:pStyle w:val="BodyText"/>
      </w:pPr>
      <w:r>
        <w:t xml:space="preserve">PACE uses 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“size minus fecundity”</w:t>
      </w:r>
      <w:r>
        <w:t xml:space="preserve">. The latter embeds</w:t>
      </w:r>
      <w:r>
        <w:t xml:space="preserve"> </w:t>
      </w:r>
      <w:r>
        <w:t xml:space="preserve">size in PACE and correlated the two axes at 0.38–0.73, making a body-size effect</w:t>
      </w:r>
      <w:r>
        <w:t xml:space="preserve"> </w:t>
      </w:r>
      <w:r>
        <w:t xml:space="preserve">inseparable from a pace-of-life effect. The residual is orthogonal to SIZE by</w:t>
      </w:r>
      <w:r>
        <w:t xml:space="preserve"> </w:t>
      </w:r>
      <w:r>
        <w:t xml:space="preserve">construction. The data-driven PCA is retained as a check (Extended Data Fig. 21).</w:t>
      </w:r>
    </w:p>
    <w:bookmarkEnd w:id="13"/>
    <w:bookmarkStart w:id="14" w:name="hypothesis-based-drivers"/>
    <w:p>
      <w:pPr>
        <w:pStyle w:val="Heading3"/>
      </w:pPr>
      <w:r>
        <w:t xml:space="preserve">2.4 Hypothesis-based drivers</w:t>
      </w:r>
    </w:p>
    <w:p>
      <w:pPr>
        <w:pStyle w:val="FirstParagraph"/>
      </w:pPr>
      <w:r>
        <w:t xml:space="preserve">Six named predictors, one per hypothesis: mean annual temperature (ambient</w:t>
      </w:r>
      <w:r>
        <w:t xml:space="preserve"> </w:t>
      </w:r>
      <w:r>
        <w:t xml:space="preserve">energy), annual precipitation (water availability), NPP (productivity),</w:t>
      </w:r>
      <w:r>
        <w:t xml:space="preserve"> </w:t>
      </w:r>
      <w:r>
        <w:t xml:space="preserve">within-cell elevation range (habitat heterogeneity), temperature seasonality</w:t>
      </w:r>
      <w:r>
        <w:t xml:space="preserve"> </w:t>
      </w:r>
      <w:r>
        <w:t xml:space="preserve">(climatic seasonality) and the 2020 human footprint (anthropogenic filter).</w:t>
      </w:r>
      <w:r>
        <w:t xml:space="preserve"> </w:t>
      </w:r>
      <w:r>
        <w:t xml:space="preserve">Named variables rather than composite components, so each coefficient reads</w:t>
      </w:r>
      <w:r>
        <w:t xml:space="preserve"> </w:t>
      </w:r>
      <w:r>
        <w:t xml:space="preserve">directly as support for one hypothesis. All six enter every model together, so</w:t>
      </w:r>
      <w:r>
        <w:t xml:space="preserve"> </w:t>
      </w:r>
      <w:r>
        <w:t xml:space="preserve">each coefficient is that hypothesis’s unique effect after the others are</w:t>
      </w:r>
      <w:r>
        <w:t xml:space="preserve"> </w:t>
      </w:r>
      <w:r>
        <w:t xml:space="preserve">controlled (VIF ≤ 5.4; Supplementary Table 38b).</w:t>
      </w:r>
    </w:p>
    <w:p>
      <w:pPr>
        <w:pStyle w:val="BodyText"/>
      </w:pPr>
      <w:r>
        <w:t xml:space="preserve">Responses are assemblage means of each of the six traits and each of the three</w:t>
      </w:r>
      <w:r>
        <w:t xml:space="preserve"> </w:t>
      </w:r>
      <w:r>
        <w:t xml:space="preserve">axes, per class: 36 models. We used spatial simultaneous autoregressive error</w:t>
      </w:r>
      <w:r>
        <w:t xml:space="preserve"> </w:t>
      </w:r>
      <w:r>
        <w:t xml:space="preserve">models (</w:t>
      </w:r>
      <w:r>
        <w:rPr>
          <w:i/>
          <w:iCs/>
        </w:rPr>
        <w:t xml:space="preserve">k</w:t>
      </w:r>
      <w:r>
        <w:t xml:space="preserve"> </w:t>
      </w:r>
      <w:r>
        <w:t xml:space="preserve">= 8 symmetrised nearest neighbours, row-standardised) rather than</w:t>
      </w:r>
      <w:r>
        <w:t xml:space="preserve"> </w:t>
      </w:r>
      <w:r>
        <w:t xml:space="preserve">OLS, whose residual Moran’s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reaches 0.69; SAR reduces residual Moran’s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to between −0.055 and 0.016 across all models (λ = 0.935–0.994). The sparse</w:t>
      </w:r>
      <w:r>
        <w:t xml:space="preserve"> </w:t>
      </w:r>
      <w:r>
        <w:t xml:space="preserve">Cholesky (</w:t>
      </w:r>
      <w:r>
        <w:t xml:space="preserve">“Matrix”</w:t>
      </w:r>
      <w:r>
        <w:t xml:space="preserve">) method was used because eigendecomposition is O(</w:t>
      </w:r>
      <w:r>
        <w:rPr>
          <w:i/>
          <w:iCs/>
        </w:rPr>
        <w:t xml:space="preserve">n</w:t>
      </w:r>
      <w:r>
        <w:t xml:space="preserve">³) at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≈ 3,700; we verified it against the exact eigen solution on the smallest</w:t>
      </w:r>
      <w:r>
        <w:t xml:space="preserve"> </w:t>
      </w:r>
      <w:r>
        <w:t xml:space="preserve">class, where coefficients agree to 8 × 10⁻¹⁰ and log-likelihoods to 3 × 10⁻¹².</w:t>
      </w:r>
      <w:r>
        <w:t xml:space="preserve"> </w:t>
      </w:r>
      <w:r>
        <w:t xml:space="preserve">Variance was partitioned among three hypothesis blocks (climate, habitat,</w:t>
      </w:r>
      <w:r>
        <w:t xml:space="preserve"> </w:t>
      </w:r>
      <w:r>
        <w:t xml:space="preserve">human).</w:t>
      </w:r>
    </w:p>
    <w:bookmarkEnd w:id="14"/>
    <w:bookmarkStart w:id="15" w:name="valid-significance-testing"/>
    <w:p>
      <w:pPr>
        <w:pStyle w:val="Heading3"/>
      </w:pPr>
      <w:r>
        <w:t xml:space="preserve">2.5 Valid significance testing</w:t>
      </w:r>
    </w:p>
    <w:p>
      <w:pPr>
        <w:pStyle w:val="FirstParagraph"/>
      </w:pPr>
      <w:r>
        <w:t xml:space="preserve">Regressing community-weighted means on the environment inflates Type I error</w:t>
      </w:r>
      <w:r>
        <w:t xml:space="preserve"> </w:t>
      </w:r>
      <w:r>
        <w:t xml:space="preserve">because all sites share one trait vector (Peres-Neto et al. 2017; ter Braak et</w:t>
      </w:r>
      <w:r>
        <w:t xml:space="preserve"> </w:t>
      </w:r>
      <w:r>
        <w:t xml:space="preserve">al. 2017). Every trait–environment link was therefore re-tested with the</w:t>
      </w:r>
      <w:r>
        <w:t xml:space="preserve"> </w:t>
      </w:r>
      <w:r>
        <w:t xml:space="preserve">fourth-corner max test (</w:t>
      </w:r>
      <w:r>
        <w:rPr>
          <w:rStyle w:val="VerbatimChar"/>
        </w:rPr>
        <w:t xml:space="preserve">modeltype = 6</w:t>
      </w:r>
      <w:r>
        <w:t xml:space="preserve">, 999 permutations, spatially stratified</w:t>
      </w:r>
      <w:r>
        <w:t xml:space="preserve"> </w:t>
      </w:r>
      <w:r>
        <w:t xml:space="preserve">subsample of 1,200 cells), which takes the larger of the site-permutation and</w:t>
      </w:r>
      <w:r>
        <w:t xml:space="preserve"> </w:t>
      </w:r>
      <w:r>
        <w:t xml:space="preserve">species-permutation</w:t>
      </w:r>
      <w:r>
        <w:t xml:space="preserve"> </w:t>
      </w:r>
      <w:r>
        <w:rPr>
          <w:i/>
          <w:iCs/>
        </w:rPr>
        <w:t xml:space="preserve">P</w:t>
      </w:r>
      <w:r>
        <w:t xml:space="preserve">-values. SAR supplies effect size and direction; the max</w:t>
      </w:r>
      <w:r>
        <w:t xml:space="preserve"> </w:t>
      </w:r>
      <w:r>
        <w:t xml:space="preserve">test supplies significance.</w:t>
      </w:r>
    </w:p>
    <w:bookmarkEnd w:id="15"/>
    <w:bookmarkStart w:id="16" w:name="X7dedded35dfdf25196390a26210afbb761f1713"/>
    <w:p>
      <w:pPr>
        <w:pStyle w:val="Heading3"/>
      </w:pPr>
      <w:r>
        <w:t xml:space="preserve">2.6 Replication unit for the thermal contrast</w:t>
      </w:r>
    </w:p>
    <w:p>
      <w:pPr>
        <w:pStyle w:val="FirstParagraph"/>
      </w:pPr>
      <w:r>
        <w:t xml:space="preserve">Grid cells are not independent and classes number only four. The family-level</w:t>
      </w:r>
      <w:r>
        <w:t xml:space="preserve"> </w:t>
      </w:r>
      <w:r>
        <w:t xml:space="preserve">test therefore uses</w:t>
      </w:r>
      <w:r>
        <w:t xml:space="preserve"> </w:t>
      </w:r>
      <w:r>
        <w:rPr>
          <w:b/>
          <w:bCs/>
        </w:rPr>
        <w:t xml:space="preserve">families</w:t>
      </w:r>
      <w:r>
        <w:t xml:space="preserve"> </w:t>
      </w:r>
      <w:r>
        <w:t xml:space="preserve">as replicates (21 endothermic, 12 ectothermic</w:t>
      </w:r>
      <w:r>
        <w:t xml:space="preserve"> </w:t>
      </w:r>
      <w:r>
        <w:t xml:space="preserve">at the main threshold), in a mixed model nested as (1|class/order), with a</w:t>
      </w:r>
      <w:r>
        <w:t xml:space="preserve"> </w:t>
      </w:r>
      <w:r>
        <w:t xml:space="preserve">Wilcoxon test as a distribution-free check. Families enter if they hold ≥20</w:t>
      </w:r>
      <w:r>
        <w:t xml:space="preserve"> </w:t>
      </w:r>
      <w:r>
        <w:t xml:space="preserve">Chinese species and occupy ≥100 cells — both estimability requirements. This</w:t>
      </w:r>
      <w:r>
        <w:t xml:space="preserve"> </w:t>
      </w:r>
      <w:r>
        <w:t xml:space="preserve">retains 33 of 166 families but 87% of ectotherm and 63% of endotherm species.</w:t>
      </w:r>
      <w:r>
        <w:t xml:space="preserve"> </w:t>
      </w:r>
      <w:r>
        <w:t xml:space="preserve">We report the result at three thresholds (§3.4).</w:t>
      </w:r>
    </w:p>
    <w:bookmarkEnd w:id="16"/>
    <w:bookmarkStart w:id="17" w:name="conservation-prioritisation"/>
    <w:p>
      <w:pPr>
        <w:pStyle w:val="Heading3"/>
      </w:pPr>
      <w:r>
        <w:t xml:space="preserve">2.7 Conservation prioritisation</w:t>
      </w:r>
    </w:p>
    <w:p>
      <w:pPr>
        <w:pStyle w:val="FirstParagraph"/>
      </w:pPr>
      <w:r>
        <w:t xml:space="preserve">Targets were set at</w:t>
      </w:r>
      <w:r>
        <w:t xml:space="preserve"> </w:t>
      </w:r>
      <w:r>
        <w:rPr>
          <w:b/>
          <w:bCs/>
        </w:rPr>
        <w:t xml:space="preserve">30% of each feature’s range area</w:t>
      </w:r>
      <w:r>
        <w:t xml:space="preserve">, matching Target 3,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“represented at least once”</w:t>
      </w:r>
      <w:r>
        <w:t xml:space="preserve"> </w:t>
      </w:r>
      <w:r>
        <w:t xml:space="preserve">— representation targets saturate at</w:t>
      </w:r>
      <w:r>
        <w:t xml:space="preserve"> </w:t>
      </w:r>
      <w:r>
        <w:t xml:space="preserve">about 10% of land here and are unrelated to persistence (Rodrigues &amp; Gaston</w:t>
      </w:r>
      <w:r>
        <w:t xml:space="preserve"> </w:t>
      </w:r>
      <w:r>
        <w:t xml:space="preserve">2001). A greedy algorithm maximises shortfall reduction per unit area; greedy</w:t>
      </w:r>
      <w:r>
        <w:t xml:space="preserve"> </w:t>
      </w:r>
      <w:r>
        <w:t xml:space="preserve">carries a (1 − 1/e) worst-case guarantee for maximal coverage. Features are</w:t>
      </w:r>
      <w:r>
        <w:t xml:space="preserve"> </w:t>
      </w:r>
      <w:r>
        <w:t xml:space="preserve">either species or functional bins (the three axes each cut into six within-class</w:t>
      </w:r>
      <w:r>
        <w:t xml:space="preserve"> </w:t>
      </w:r>
      <w:r>
        <w:t xml:space="preserve">quantiles, concatenated with class label; bin-number sensitivity in</w:t>
      </w:r>
      <w:r>
        <w:t xml:space="preserve"> </w:t>
      </w:r>
      <w:r>
        <w:t xml:space="preserve">Supplementary Table 41b). Three siting principles — species complementarity,</w:t>
      </w:r>
      <w:r>
        <w:t xml:space="preserve"> </w:t>
      </w:r>
      <w:r>
        <w:t xml:space="preserve">trait-space complementarity and richness ranking — were compared against 99</w:t>
      </w:r>
      <w:r>
        <w:t xml:space="preserve"> </w:t>
      </w:r>
      <w:r>
        <w:t xml:space="preserve">random selections and against the existing reserve network, all at equal area.</w:t>
      </w:r>
    </w:p>
    <w:p>
      <w:pPr>
        <w:pStyle w:val="BodyText"/>
      </w:pPr>
      <w:r>
        <w:t xml:space="preserve">Per-species protection is protected area within the range divided by range area,</w:t>
      </w:r>
      <w:r>
        <w:t xml:space="preserve"> </w:t>
      </w:r>
      <w:r>
        <w:t xml:space="preserve">modelled as a quasi-binomial GLM on the protected/unprotected split with the</w:t>
      </w:r>
      <w:r>
        <w:t xml:space="preserve"> </w:t>
      </w:r>
      <w:r>
        <w:t xml:space="preserve">three axes and log range extent as predictors. Quasi-binomial rather than OLS on</w:t>
      </w:r>
      <w:r>
        <w:t xml:space="preserve"> </w:t>
      </w:r>
      <w:r>
        <w:t xml:space="preserve">logits because many species have exactly zero protection, where the required</w:t>
      </w:r>
      <w:r>
        <w:t xml:space="preserve"> </w:t>
      </w:r>
      <w:r>
        <w:t xml:space="preserve">clip drives the coefficients.</w:t>
      </w:r>
    </w:p>
    <w:bookmarkEnd w:id="17"/>
    <w:bookmarkStart w:id="18" w:name="land-use-tolerance"/>
    <w:p>
      <w:pPr>
        <w:pStyle w:val="Heading3"/>
      </w:pPr>
      <w:r>
        <w:t xml:space="preserve">2.8 Land-use tolerance</w:t>
      </w:r>
    </w:p>
    <w:p>
      <w:pPr>
        <w:pStyle w:val="FirstParagraph"/>
      </w:pPr>
      <w:r>
        <w:t xml:space="preserve">Etard et al. (2020) record whether each species has been observed using</w:t>
      </w:r>
      <w:r>
        <w:t xml:space="preserve"> </w:t>
      </w:r>
      <w:r>
        <w:t xml:space="preserve">artificial habitat — the most direct trait-level measure of land-use tolerance</w:t>
      </w:r>
      <w:r>
        <w:t xml:space="preserve"> </w:t>
      </w:r>
      <w:r>
        <w:t xml:space="preserve">available. Coverage is 80.0% (birds), 84.5% (mammals) and 67.4% (amphibians);</w:t>
      </w:r>
      <w:r>
        <w:t xml:space="preserve"> </w:t>
      </w:r>
      <w:r>
        <w:t xml:space="preserve">reptiles at 21.4% are reported descriptively only. All models control range</w:t>
      </w:r>
      <w:r>
        <w:t xml:space="preserve"> </w:t>
      </w:r>
      <w:r>
        <w:t xml:space="preserve">size, because poorly studied species are both more likely to be uncoded and more</w:t>
      </w:r>
      <w:r>
        <w:t xml:space="preserve"> </w:t>
      </w:r>
      <w:r>
        <w:t xml:space="preserve">likely to be narrow-ranged.</w:t>
      </w:r>
    </w:p>
    <w:bookmarkEnd w:id="18"/>
    <w:bookmarkStart w:id="19" w:name="reproducibility"/>
    <w:p>
      <w:pPr>
        <w:pStyle w:val="Heading3"/>
      </w:pPr>
      <w:r>
        <w:t xml:space="preserve">2.9 Reproducibility</w:t>
      </w:r>
    </w:p>
    <w:p>
      <w:pPr>
        <w:pStyle w:val="FirstParagraph"/>
      </w:pPr>
      <w:r>
        <w:t xml:space="preserve">All analyses were run in R 4.5.1 with a fixed seed (20260801). Code, aggregated</w:t>
      </w:r>
      <w:r>
        <w:t xml:space="preserve"> </w:t>
      </w:r>
      <w:r>
        <w:t xml:space="preserve">per-cell results and figures are archived (§ Data and code availability).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results"/>
    <w:p>
      <w:pPr>
        <w:pStyle w:val="Heading2"/>
      </w:pPr>
      <w:r>
        <w:t xml:space="preserve">3. Results</w:t>
      </w:r>
    </w:p>
    <w:bookmarkStart w:id="21" w:name="X295f7430d2ea4ddf6b6e0fa3d17f62b1dd5b66f"/>
    <w:p>
      <w:pPr>
        <w:pStyle w:val="Heading3"/>
      </w:pPr>
      <w:r>
        <w:t xml:space="preserve">3.1 Assemblage trait structure is at least three separable dimensions</w:t>
      </w:r>
    </w:p>
    <w:p>
      <w:pPr>
        <w:pStyle w:val="FirstParagraph"/>
      </w:pPr>
      <w:r>
        <w:t xml:space="preserve">The three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axes are near-independent within every class: SIZE–PACE</w:t>
      </w:r>
      <w:r>
        <w:t xml:space="preserve"> </w:t>
      </w:r>
      <w:r>
        <w:t xml:space="preserve">−0.107 to 0.030, SIZE–NICHE −0.021 to 0.297, PACE–NICHE −0.197 to 0.097</w:t>
      </w:r>
      <w:r>
        <w:t xml:space="preserve"> </w:t>
      </w:r>
      <w:r>
        <w:t xml:space="preserve">(Fig. 2; Supplementary Table 37b). Their geographies do not coincide (Fig. 3),</w:t>
      </w:r>
      <w:r>
        <w:t xml:space="preserve"> </w:t>
      </w:r>
      <w:r>
        <w:t xml:space="preserve">and their trait–environment coefficient patterns differ (Fig. 4a). H1 is not</w:t>
      </w:r>
      <w:r>
        <w:t xml:space="preserve"> </w:t>
      </w:r>
      <w:r>
        <w:t xml:space="preserve">refuted.</w:t>
      </w:r>
    </w:p>
    <w:bookmarkEnd w:id="21"/>
    <w:bookmarkStart w:id="22" w:name="X939f7929db348222c09812972da76fe21285ab1"/>
    <w:p>
      <w:pPr>
        <w:pStyle w:val="Heading3"/>
      </w:pPr>
      <w:r>
        <w:t xml:space="preserve">3.2 Composite axes are not more sensitive than their component traits</w:t>
      </w:r>
    </w:p>
    <w:p>
      <w:pPr>
        <w:pStyle w:val="FirstParagraph"/>
      </w:pPr>
      <w:r>
        <w:t xml:space="preserve">Comparing each axis’s mean |effect| across the six hypotheses against the mean of</w:t>
      </w:r>
      <w:r>
        <w:t xml:space="preserve"> </w:t>
      </w:r>
      <w:r>
        <w:t xml:space="preserve">its components, six of eight class-by-axis comparisons favour the</w:t>
      </w:r>
      <w:r>
        <w:t xml:space="preserve"> </w:t>
      </w:r>
      <w:r>
        <w:rPr>
          <w:b/>
          <w:bCs/>
        </w:rPr>
        <w:t xml:space="preserve">components</w:t>
      </w:r>
      <w:r>
        <w:t xml:space="preserve">;</w:t>
      </w:r>
      <w:r>
        <w:t xml:space="preserve"> </w:t>
      </w:r>
      <w:r>
        <w:t xml:space="preserve">only amphibian PACE gains (+0.030), while reptile PACE loses most (−0.025)</w:t>
      </w:r>
      <w:r>
        <w:t xml:space="preserve"> </w:t>
      </w:r>
      <w:r>
        <w:t xml:space="preserve">(Fig. 4c; Supplementary Table 39b). The routine</w:t>
      </w:r>
      <w:r>
        <w:t xml:space="preserve"> </w:t>
      </w:r>
      <w:r>
        <w:t xml:space="preserve">“PCA first, then regress”</w:t>
      </w:r>
      <w:r>
        <w:t xml:space="preserve"> </w:t>
      </w:r>
      <w:r>
        <w:t xml:space="preserve">workflow therefore</w:t>
      </w:r>
      <w:r>
        <w:t xml:space="preserve"> </w:t>
      </w:r>
      <w:r>
        <w:rPr>
          <w:b/>
          <w:bCs/>
        </w:rPr>
        <w:t xml:space="preserve">understates</w:t>
      </w:r>
      <w:r>
        <w:t xml:space="preserve"> </w:t>
      </w:r>
      <w:r>
        <w:t xml:space="preserve">trait–environment coupling. The value of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axes lies in giving cross-class comparison a common language, not in</w:t>
      </w:r>
      <w:r>
        <w:t xml:space="preserve"> </w:t>
      </w:r>
      <w:r>
        <w:t xml:space="preserve">raising power. We accordingly report single traits and axes side by side</w:t>
      </w:r>
      <w:r>
        <w:t xml:space="preserve"> </w:t>
      </w:r>
      <w:r>
        <w:t xml:space="preserve">throughout.</w:t>
      </w:r>
    </w:p>
    <w:bookmarkEnd w:id="22"/>
    <w:bookmarkStart w:id="23" w:name="X7fa2776d4a5485ea5d498b89cbc90379ccd1347"/>
    <w:p>
      <w:pPr>
        <w:pStyle w:val="Heading3"/>
      </w:pPr>
      <w:r>
        <w:t xml:space="preserve">3.3 Climate dominates, and thermoregulation sets its strength</w:t>
      </w:r>
    </w:p>
    <w:p>
      <w:pPr>
        <w:pStyle w:val="FirstParagraph"/>
      </w:pPr>
      <w:r>
        <w:t xml:space="preserve">Climate carries the great majority of unique explanatory power in every class</w:t>
      </w:r>
      <w:r>
        <w:t xml:space="preserve"> </w:t>
      </w:r>
      <w:r>
        <w:t xml:space="preserve">(unique adjusted</w:t>
      </w:r>
      <w:r>
        <w:t xml:space="preserve"> </w:t>
      </w:r>
      <w:r>
        <w:rPr>
          <w:i/>
          <w:iCs/>
        </w:rPr>
        <w:t xml:space="preserve">R</w:t>
      </w:r>
      <w:r>
        <w:t xml:space="preserve">² 0.341 amphibians, 0.345 birds, 0.396 mammals, 0.240</w:t>
      </w:r>
      <w:r>
        <w:t xml:space="preserve"> </w:t>
      </w:r>
      <w:r>
        <w:t xml:space="preserve">reptiles), against 0.007–0.032 for habitat and 0.005–0.032 for human pressure</w:t>
      </w:r>
      <w:r>
        <w:t xml:space="preserve"> </w:t>
      </w:r>
      <w:r>
        <w:t xml:space="preserve">(Fig. 4b; Supplementary Table 39). Reptiles are the exception in both</w:t>
      </w:r>
      <w:r>
        <w:t xml:space="preserve"> </w:t>
      </w:r>
      <w:r>
        <w:t xml:space="preserve">directions: the lowest climate share and the highest human share.</w:t>
      </w:r>
    </w:p>
    <w:p>
      <w:pPr>
        <w:pStyle w:val="BodyText"/>
      </w:pPr>
      <w:r>
        <w:t xml:space="preserve">Averaged over all responses, the ambient-energy effect is |β| = 0.169 in</w:t>
      </w:r>
      <w:r>
        <w:t xml:space="preserve"> </w:t>
      </w:r>
      <w:r>
        <w:t xml:space="preserve">ectotherms and 0.072 in endotherms — a ratio of</w:t>
      </w:r>
      <w:r>
        <w:t xml:space="preserve"> </w:t>
      </w:r>
      <w:r>
        <w:rPr>
          <w:b/>
          <w:bCs/>
        </w:rPr>
        <w:t xml:space="preserve">2.35</w:t>
      </w:r>
      <w:r>
        <w:t xml:space="preserve"> </w:t>
      </w:r>
      <w:r>
        <w:t xml:space="preserve">(Fig. 6; Supplementary</w:t>
      </w:r>
      <w:r>
        <w:t xml:space="preserve"> </w:t>
      </w:r>
      <w:r>
        <w:t xml:space="preserve">Table 38). Across the six hypotheses the ectotherm excess is 2.81 (human</w:t>
      </w:r>
      <w:r>
        <w:t xml:space="preserve"> </w:t>
      </w:r>
      <w:r>
        <w:t xml:space="preserve">pressure), 2.35 (ambient energy), 2.08 (productivity), 1.88 (seasonality), 1.30</w:t>
      </w:r>
      <w:r>
        <w:t xml:space="preserve"> </w:t>
      </w:r>
      <w:r>
        <w:t xml:space="preserve">(water) and</w:t>
      </w:r>
      <w:r>
        <w:t xml:space="preserve"> </w:t>
      </w:r>
      <w:r>
        <w:rPr>
          <w:b/>
          <w:bCs/>
        </w:rPr>
        <w:t xml:space="preserve">1.03</w:t>
      </w:r>
      <w:r>
        <w:t xml:space="preserve"> </w:t>
      </w:r>
      <w:r>
        <w:t xml:space="preserve">(habitat heterogeneity).</w:t>
      </w:r>
    </w:p>
    <w:bookmarkEnd w:id="23"/>
    <w:bookmarkStart w:id="24" w:name="Xd37fb9456f49001af048b30151fc8df0fcbf74f"/>
    <w:p>
      <w:pPr>
        <w:pStyle w:val="Heading3"/>
      </w:pPr>
      <w:r>
        <w:t xml:space="preserve">3.4 The thermal asymmetry survives specification, but the family-level layer is weaker</w:t>
      </w:r>
    </w:p>
    <w:p>
      <w:pPr>
        <w:pStyle w:val="FirstParagraph"/>
      </w:pPr>
      <w:r>
        <w:t xml:space="preserve">We first tested H2 with habitat heterogeneity as a negative control, on the</w:t>
      </w:r>
      <w:r>
        <w:t xml:space="preserve"> </w:t>
      </w:r>
      <w:r>
        <w:t xml:space="preserve">grounds that it carries no thermal information. That control is not</w:t>
      </w:r>
      <w:r>
        <w:t xml:space="preserve"> </w:t>
      </w:r>
      <w:r>
        <w:t xml:space="preserve">proxy-independent. Replacing within-cell elevation range with land-cover type</w:t>
      </w:r>
      <w:r>
        <w:t xml:space="preserve"> </w:t>
      </w:r>
      <w:r>
        <w:t xml:space="preserve">diversity gives an ectotherm excess of 1.81 (95% CI 1.07–2.87), and with</w:t>
      </w:r>
      <w:r>
        <w:t xml:space="preserve"> </w:t>
      </w:r>
      <w:r>
        <w:t xml:space="preserve">EarthEnv remote-sensing texture 0.67 (0.40–1.10), against 1.12 (0.64–1.95) for</w:t>
      </w:r>
      <w:r>
        <w:t xml:space="preserve"> </w:t>
      </w:r>
      <w:r>
        <w:t xml:space="preserve">elevation range (Extended Data Fig. 22; Supplementary Table 45b).</w:t>
      </w:r>
    </w:p>
    <w:p>
      <w:pPr>
        <w:pStyle w:val="BodyText"/>
      </w:pPr>
      <w:r>
        <w:t xml:space="preserve">Diagnosing why rescues the test. The three proxies differ greatly in how much</w:t>
      </w:r>
      <w:r>
        <w:t xml:space="preserve"> </w:t>
      </w:r>
      <w:r>
        <w:t xml:space="preserve">temperature information they carry: |Spearman</w:t>
      </w:r>
      <w:r>
        <w:t xml:space="preserve"> </w:t>
      </w:r>
      <w:r>
        <w:rPr>
          <w:i/>
          <w:iCs/>
        </w:rPr>
        <w:t xml:space="preserve">r</w:t>
      </w:r>
      <w:r>
        <w:t xml:space="preserve">| with mean annual temperature</w:t>
      </w:r>
      <w:r>
        <w:t xml:space="preserve"> </w:t>
      </w:r>
      <w:r>
        <w:t xml:space="preserve">is 0.05 (texture), 0.20 (elevation range) and</w:t>
      </w:r>
      <w:r>
        <w:t xml:space="preserve"> </w:t>
      </w:r>
      <w:r>
        <w:rPr>
          <w:b/>
          <w:bCs/>
        </w:rPr>
        <w:t xml:space="preserve">0.52</w:t>
      </w:r>
      <w:r>
        <w:t xml:space="preserve"> </w:t>
      </w:r>
      <w:r>
        <w:t xml:space="preserve">(land-cover diversity).</w:t>
      </w:r>
      <w:r>
        <w:t xml:space="preserve"> </w:t>
      </w:r>
      <w:r>
        <w:t xml:space="preserve">The one proxy showing an ectotherm excess is the one most correlated with</w:t>
      </w:r>
      <w:r>
        <w:t xml:space="preserve"> </w:t>
      </w:r>
      <w:r>
        <w:t xml:space="preserve">temperature — in China land cover is itself arranged along the thermal gradient</w:t>
      </w:r>
      <w:r>
        <w:t xml:space="preserve"> </w:t>
      </w:r>
      <w:r>
        <w:t xml:space="preserve">— so it is a thermal predictor in disguise, not a valid control. Reframed as a</w:t>
      </w:r>
      <w:r>
        <w:t xml:space="preserve"> </w:t>
      </w:r>
      <w:r>
        <w:rPr>
          <w:b/>
          <w:bCs/>
        </w:rPr>
        <w:t xml:space="preserve">trend</w:t>
      </w:r>
      <w:r>
        <w:t xml:space="preserve">, the prediction holds: the ectotherm excess scales with a predictor’s</w:t>
      </w:r>
      <w:r>
        <w:t xml:space="preserve"> </w:t>
      </w:r>
      <w:r>
        <w:t xml:space="preserve">thermal content across eight predictors (Spearman ρ = 0.74,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0.037). A</w:t>
      </w:r>
      <w:r>
        <w:t xml:space="preserve"> </w:t>
      </w:r>
      <w:r>
        <w:t xml:space="preserve">trend prediction is harder to satisfy by chance than the single point it</w:t>
      </w:r>
      <w:r>
        <w:t xml:space="preserve"> </w:t>
      </w:r>
      <w:r>
        <w:t xml:space="preserve">replaces. The energy ratio itself is robust to specification (1.98–2.63; every</w:t>
      </w:r>
      <w:r>
        <w:t xml:space="preserve"> </w:t>
      </w:r>
      <w:r>
        <w:t xml:space="preserve">95% CI excluding 1).</w:t>
      </w:r>
    </w:p>
    <w:p>
      <w:pPr>
        <w:pStyle w:val="BodyText"/>
      </w:pPr>
      <w:r>
        <w:t xml:space="preserve">The family-level test is directionally consistent but weaker than we first</w:t>
      </w:r>
      <w:r>
        <w:t xml:space="preserve"> </w:t>
      </w:r>
      <w:r>
        <w:t xml:space="preserve">reported. Ectothermic families show 1.79× the thermal coupling of endothermic</w:t>
      </w:r>
      <w:r>
        <w:t xml:space="preserve"> </w:t>
      </w:r>
      <w:r>
        <w:t xml:space="preserve">families at the main threshold (</w:t>
      </w:r>
      <w:r>
        <w:rPr>
          <w:i/>
          <w:iCs/>
        </w:rPr>
        <w:t xml:space="preserve">P</w:t>
      </w:r>
      <w:r>
        <w:t xml:space="preserve"> </w:t>
      </w:r>
      <w:r>
        <w:t xml:space="preserve">= 0.017 mixed model;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0.026 Wilcoxon),</w:t>
      </w:r>
      <w:r>
        <w:t xml:space="preserve"> </w:t>
      </w:r>
      <w:r>
        <w:t xml:space="preserve">1.71× at ≥30 species (</w:t>
      </w:r>
      <w:r>
        <w:rPr>
          <w:i/>
          <w:iCs/>
        </w:rPr>
        <w:t xml:space="preserve">P</w:t>
      </w:r>
      <w:r>
        <w:t xml:space="preserve"> </w:t>
      </w:r>
      <w:r>
        <w:t xml:space="preserve">= 0.049), but 1.33× and non-significant at ≥10 species</w:t>
      </w:r>
      <w:r>
        <w:t xml:space="preserve"> </w:t>
      </w:r>
      <w:r>
        <w:t xml:space="preserve">(</w:t>
      </w:r>
      <w:r>
        <w:rPr>
          <w:i/>
          <w:iCs/>
        </w:rPr>
        <w:t xml:space="preserve">P</w:t>
      </w:r>
      <w:r>
        <w:t xml:space="preserve"> </w:t>
      </w:r>
      <w:r>
        <w:t xml:space="preserve">= 0.23), where 14 additional small families with noisier coupling estimates</w:t>
      </w:r>
      <w:r>
        <w:t xml:space="preserve"> </w:t>
      </w:r>
      <w:r>
        <w:t xml:space="preserve">enter (Extended Data Fig. 23; Supplementary Table 46b). An alternative</w:t>
      </w:r>
      <w:r>
        <w:t xml:space="preserve"> </w:t>
      </w:r>
      <w:r>
        <w:t xml:space="preserve">operationalisation —</w:t>
      </w:r>
      <w:r>
        <w:t xml:space="preserve"> </w:t>
      </w:r>
      <w:r>
        <w:rPr>
          <w:i/>
          <w:iCs/>
        </w:rPr>
        <w:t xml:space="preserve">R</w:t>
      </w:r>
      <w:r>
        <w:t xml:space="preserve">² of the three axes on named thermal variables rather</w:t>
      </w:r>
      <w:r>
        <w:t xml:space="preserve"> </w:t>
      </w:r>
      <w:r>
        <w:t xml:space="preserve">than |β| on a composite thermal axis — gives 1.05. We therefore treat the</w:t>
      </w:r>
      <w:r>
        <w:t xml:space="preserve"> </w:t>
      </w:r>
      <w:r>
        <w:t xml:space="preserve">grid-cell analysis as the primary evidence and the family-level result as</w:t>
      </w:r>
      <w:r>
        <w:t xml:space="preserve"> </w:t>
      </w:r>
      <w:r>
        <w:t xml:space="preserve">directional corroboration.</w:t>
      </w:r>
    </w:p>
    <w:p>
      <w:pPr>
        <w:pStyle w:val="BodyText"/>
      </w:pPr>
      <w:r>
        <w:rPr>
          <w:b/>
          <w:bCs/>
        </w:rPr>
        <w:t xml:space="preserve">H2 comes close to its own refutation condition, and we report it as such.</w:t>
      </w:r>
      <w:r>
        <w:t xml:space="preserve"> </w:t>
      </w:r>
      <w:r>
        <w:t xml:space="preserve">We</w:t>
      </w:r>
      <w:r>
        <w:t xml:space="preserve"> </w:t>
      </w:r>
      <w:r>
        <w:t xml:space="preserve">stated in advance that H2 would be refuted if ectotherms responded more strongly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predictors, since that would indicate a signal-to-noise difference</w:t>
      </w:r>
      <w:r>
        <w:t xml:space="preserve"> </w:t>
      </w:r>
      <w:r>
        <w:t xml:space="preserve">rather than a thermal mechanism. In the event, five of six predictors give</w:t>
      </w:r>
      <w:r>
        <w:t xml:space="preserve"> </w:t>
      </w:r>
      <w:r>
        <w:t xml:space="preserve">ectotherm/endotherm ratios above 1.2 — human pressure 2.80, ambient energy 2.35,</w:t>
      </w:r>
      <w:r>
        <w:t xml:space="preserve"> </w:t>
      </w:r>
      <w:r>
        <w:t xml:space="preserve">productivity 2.08, seasonality 1.88, water 1.30 — and only habitat heterogeneity</w:t>
      </w:r>
      <w:r>
        <w:t xml:space="preserve"> </w:t>
      </w:r>
      <w:r>
        <w:t xml:space="preserve">is flat at 1.03. Ectotherms do respond more strongly to nearly everything.</w:t>
      </w:r>
    </w:p>
    <w:p>
      <w:pPr>
        <w:pStyle w:val="BodyText"/>
      </w:pPr>
      <w:r>
        <w:t xml:space="preserve">Three considerations keep the thermal interpretation alive without rescuing it</w:t>
      </w:r>
      <w:r>
        <w:t xml:space="preserve"> </w:t>
      </w:r>
      <w:r>
        <w:t xml:space="preserve">entirely. (i) The ratio is not constant across predictors, as a pure</w:t>
      </w:r>
      <w:r>
        <w:t xml:space="preserve"> </w:t>
      </w:r>
      <w:r>
        <w:t xml:space="preserve">signal-to-noise account predicts, but ordered: it scales with thermal content</w:t>
      </w:r>
      <w:r>
        <w:t xml:space="preserve"> </w:t>
      </w:r>
      <w:r>
        <w:t xml:space="preserve">(ρ = 0.74,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0.037). (ii) The two predictors with the least thermal content</w:t>
      </w:r>
      <w:r>
        <w:t xml:space="preserve"> </w:t>
      </w:r>
      <w:r>
        <w:t xml:space="preserve">are the two flattest (elevation range 0.198 → 1.12; remote-sensing texture 0.054</w:t>
      </w:r>
      <w:r>
        <w:t xml:space="preserve"> </w:t>
      </w:r>
      <w:r>
        <w:t xml:space="preserve">→ 0.67). (iii) The ordering is nonetheless imperfect — human pressure has the</w:t>
      </w:r>
      <w:r>
        <w:t xml:space="preserve"> </w:t>
      </w:r>
      <w:r>
        <w:t xml:space="preserve">highest ratio on only intermediate thermal content (0.609), and water</w:t>
      </w:r>
      <w:r>
        <w:t xml:space="preserve"> </w:t>
      </w:r>
      <w:r>
        <w:t xml:space="preserve">availability has substantial thermal content (0.574) but a low ratio (1.23) —</w:t>
      </w:r>
      <w:r>
        <w:t xml:space="preserve"> </w:t>
      </w:r>
      <w:r>
        <w:t xml:space="preserve">so the dose-response explains the gradient in aggregate rather than each point.</w:t>
      </w:r>
    </w:p>
    <w:p>
      <w:pPr>
        <w:pStyle w:val="BodyText"/>
      </w:pPr>
      <w:r>
        <w:t xml:space="preserve">We therefore state H2 as</w:t>
      </w:r>
      <w:r>
        <w:t xml:space="preserve"> </w:t>
      </w:r>
      <w:r>
        <w:rPr>
          <w:b/>
          <w:bCs/>
        </w:rPr>
        <w:t xml:space="preserve">partially supported</w:t>
      </w:r>
      <w:r>
        <w:t xml:space="preserve">: the energy asymmetry is large</w:t>
      </w:r>
      <w:r>
        <w:t xml:space="preserve"> </w:t>
      </w:r>
      <w:r>
        <w:t xml:space="preserve">and specification-robust, and its magnitude tracks thermal content, but we</w:t>
      </w:r>
      <w:r>
        <w:t xml:space="preserve"> </w:t>
      </w:r>
      <w:r>
        <w:t xml:space="preserve">cannot exclude that part of the ectotherm excess reflects a general difference</w:t>
      </w:r>
      <w:r>
        <w:t xml:space="preserve"> </w:t>
      </w:r>
      <w:r>
        <w:t xml:space="preserve">in how tightly ectotherm assemblages track any environmental gradient. A design</w:t>
      </w:r>
      <w:r>
        <w:t xml:space="preserve"> </w:t>
      </w:r>
      <w:r>
        <w:t xml:space="preserve">that could separate these — for example contrasting elevational with latitudinal</w:t>
      </w:r>
      <w:r>
        <w:t xml:space="preserve"> </w:t>
      </w:r>
      <w:r>
        <w:t xml:space="preserve">temperature gradients at matched heterogeneity — is beyond the present data.</w:t>
      </w:r>
    </w:p>
    <w:bookmarkEnd w:id="24"/>
    <w:bookmarkStart w:id="25" w:name="X1f57fcc27f2e128e1113f97560a946a2b0694bc"/>
    <w:p>
      <w:pPr>
        <w:pStyle w:val="Heading3"/>
      </w:pPr>
      <w:r>
        <w:t xml:space="preserve">3.5 Most links survive a valid test; naive testing inflates by up to 1.72×</w:t>
      </w:r>
    </w:p>
    <w:p>
      <w:pPr>
        <w:pStyle w:val="FirstParagraph"/>
      </w:pPr>
      <w:r>
        <w:t xml:space="preserve">Across 216 hypothesis × response × class tests, naive CWM regression declares</w:t>
      </w:r>
      <w:r>
        <w:t xml:space="preserve"> </w:t>
      </w:r>
      <w:r>
        <w:t xml:space="preserve">89–98% significant; the fourth-corner max test declares 54–76% — an inflation of</w:t>
      </w:r>
      <w:r>
        <w:t xml:space="preserve"> </w:t>
      </w:r>
      <w:r>
        <w:t xml:space="preserve">1.27× (birds), 1.36× (mammals), 1.55× (amphibians) and 1.72× (reptiles)</w:t>
      </w:r>
      <w:r>
        <w:t xml:space="preserve"> </w:t>
      </w:r>
      <w:r>
        <w:t xml:space="preserve">(Fig. 5b; Supplementary Table 40b). Inflation is larger in ectotherms. Of the</w:t>
      </w:r>
      <w:r>
        <w:t xml:space="preserve"> </w:t>
      </w:r>
      <w:r>
        <w:t xml:space="preserve">216 tests, 140 survive, led by ambient energy (29), climatic seasonality (28)</w:t>
      </w:r>
      <w:r>
        <w:t xml:space="preserve"> </w:t>
      </w:r>
      <w:r>
        <w:t xml:space="preserve">and water availability (26), with human pressure last (16) — the same ordering</w:t>
      </w:r>
      <w:r>
        <w:t xml:space="preserve"> </w:t>
      </w:r>
      <w:r>
        <w:t xml:space="preserve">the SAR effect sizes give, so two statistically independent routes agree</w:t>
      </w:r>
      <w:r>
        <w:t xml:space="preserve"> </w:t>
      </w:r>
      <w:r>
        <w:t xml:space="preserve">(Fig. 5; Supplementary Table 40c). Under SAR, 49.1% of the 216 coefficients are</w:t>
      </w:r>
      <w:r>
        <w:t xml:space="preserve"> </w:t>
      </w:r>
      <w:r>
        <w:t xml:space="preserve">significant after BH correction.</w:t>
      </w:r>
    </w:p>
    <w:bookmarkEnd w:id="25"/>
    <w:bookmarkStart w:id="26" w:name="X4b9624569c3bb29efb7a0fa7506d9ad6d329d29"/>
    <w:p>
      <w:pPr>
        <w:pStyle w:val="Heading3"/>
      </w:pPr>
      <w:r>
        <w:t xml:space="preserve">3.6 The same conclusions hold under other indices and unconstrained ordination</w:t>
      </w:r>
    </w:p>
    <w:p>
      <w:pPr>
        <w:pStyle w:val="FirstParagraph"/>
      </w:pPr>
      <w:r>
        <w:t xml:space="preserve">Three hull-free functional-diversity indices (FEve, FDis, RaoQ) against the same</w:t>
      </w:r>
      <w:r>
        <w:t xml:space="preserve"> </w:t>
      </w:r>
      <w:r>
        <w:t xml:space="preserve">six hypotheses agree in sign 83–95% of the time within each class, so the</w:t>
      </w:r>
      <w:r>
        <w:t xml:space="preserve"> </w:t>
      </w:r>
      <w:r>
        <w:t xml:space="preserve">conclusions are not an artefact of one index. Non-metric multidimensional</w:t>
      </w:r>
      <w:r>
        <w:t xml:space="preserve"> </w:t>
      </w:r>
      <w:r>
        <w:t xml:space="preserve">scaling of assemblage trait composition converges well in all four classes</w:t>
      </w:r>
      <w:r>
        <w:t xml:space="preserve"> </w:t>
      </w:r>
      <w:r>
        <w:t xml:space="preserve">(stress 0.087–0.100), and post hoc environmental fitting places the strongest</w:t>
      </w:r>
      <w:r>
        <w:t xml:space="preserve"> </w:t>
      </w:r>
      <w:r>
        <w:t xml:space="preserve">vector at</w:t>
      </w:r>
      <w:r>
        <w:t xml:space="preserve"> </w:t>
      </w:r>
      <w:r>
        <w:rPr>
          <w:i/>
          <w:iCs/>
        </w:rPr>
        <w:t xml:space="preserve">R</w:t>
      </w:r>
      <w:r>
        <w:t xml:space="preserve">² = 0.72–0.87 (Extended Data Fig. 24; Supplementary Tables 47b,</w:t>
      </w:r>
      <w:r>
        <w:t xml:space="preserve"> </w:t>
      </w:r>
      <w:r>
        <w:t xml:space="preserve">48). An unconstrained ordination therefore recovers the same gradients the</w:t>
      </w:r>
      <w:r>
        <w:t xml:space="preserve"> </w:t>
      </w:r>
      <w:r>
        <w:t xml:space="preserve">constrained CWM models identify.</w:t>
      </w:r>
    </w:p>
    <w:bookmarkEnd w:id="26"/>
    <w:bookmarkStart w:id="27" w:name="no-class-substitutes-for-another"/>
    <w:p>
      <w:pPr>
        <w:pStyle w:val="Heading3"/>
      </w:pPr>
      <w:r>
        <w:t xml:space="preserve">3.7 No class substitutes for another</w:t>
      </w:r>
    </w:p>
    <w:p>
      <w:pPr>
        <w:pStyle w:val="FirstParagraph"/>
      </w:pPr>
      <w:r>
        <w:t xml:space="preserve">Cross-class congruence of functional regionalisations is moderate at best</w:t>
      </w:r>
      <w:r>
        <w:t xml:space="preserve"> </w:t>
      </w:r>
      <w:r>
        <w:t xml:space="preserve">(adjusted Rand index 0.24–0.59), and the least congruent pair is</w:t>
      </w:r>
      <w:r>
        <w:t xml:space="preserve"> </w:t>
      </w:r>
      <w:r>
        <w:rPr>
          <w:b/>
          <w:bCs/>
        </w:rPr>
        <w:t xml:space="preserve">birds–mammals</w:t>
      </w:r>
      <w:r>
        <w:t xml:space="preserve"> </w:t>
      </w:r>
      <w:r>
        <w:t xml:space="preserve">(0.241), not birds–reptiles (0.588) (Fig. 7; Supplementary</w:t>
      </w:r>
      <w:r>
        <w:t xml:space="preserve"> </w:t>
      </w:r>
      <w:r>
        <w:t xml:space="preserve">Table 13). The conservation-relevant asymmetry is instead functional redundancy:</w:t>
      </w:r>
      <w:r>
        <w:t xml:space="preserve"> </w:t>
      </w:r>
      <w:r>
        <w:t xml:space="preserve">functional β relative to taxonomic β gives redundancy 0.810 in birds, 0.659 in</w:t>
      </w:r>
      <w:r>
        <w:t xml:space="preserve"> </w:t>
      </w:r>
      <w:r>
        <w:t xml:space="preserve">mammals and</w:t>
      </w:r>
      <w:r>
        <w:t xml:space="preserve"> </w:t>
      </w:r>
      <w:r>
        <w:rPr>
          <w:b/>
          <w:bCs/>
        </w:rPr>
        <w:t xml:space="preserve">0.338</w:t>
      </w:r>
      <w:r>
        <w:t xml:space="preserve"> </w:t>
      </w:r>
      <w:r>
        <w:t xml:space="preserve">in reptiles (Supplementary Table 20). In reptiles each</w:t>
      </w:r>
      <w:r>
        <w:t xml:space="preserve"> </w:t>
      </w:r>
      <w:r>
        <w:t xml:space="preserve">species carries the most unique function, so species-count protection converts</w:t>
      </w:r>
      <w:r>
        <w:t xml:space="preserve"> </w:t>
      </w:r>
      <w:r>
        <w:t xml:space="preserve">least readily into functional protection.</w:t>
      </w:r>
    </w:p>
    <w:p>
      <w:pPr>
        <w:pStyle w:val="BodyText"/>
      </w:pPr>
      <w:r>
        <w:t xml:space="preserve">Conservation</w:t>
      </w:r>
      <w:r>
        <w:t xml:space="preserve"> </w:t>
      </w:r>
      <w:r>
        <w:rPr>
          <w:b/>
          <w:bCs/>
        </w:rPr>
        <w:t xml:space="preserve">gaps</w:t>
      </w:r>
      <w:r>
        <w:t xml:space="preserve"> </w:t>
      </w:r>
      <w:r>
        <w:t xml:space="preserve">separate the classes even more sharply. Jaccard overlap of</w:t>
      </w:r>
      <w:r>
        <w:t xml:space="preserve"> </w:t>
      </w:r>
      <w:r>
        <w:t xml:space="preserve">gap cells is 0.315 for the two endotherm classes, 0.238 and 0.182 for reptiles</w:t>
      </w:r>
      <w:r>
        <w:t xml:space="preserve"> </w:t>
      </w:r>
      <w:r>
        <w:t xml:space="preserve">against mammals and birds, but</w:t>
      </w:r>
      <w:r>
        <w:t xml:space="preserve"> </w:t>
      </w:r>
      <w:r>
        <w:rPr>
          <w:b/>
          <w:bCs/>
        </w:rPr>
        <w:t xml:space="preserve">0.074 and 0.086</w:t>
      </w:r>
      <w:r>
        <w:t xml:space="preserve"> </w:t>
      </w:r>
      <w:r>
        <w:t xml:space="preserve">for amphibians against</w:t>
      </w:r>
      <w:r>
        <w:t xml:space="preserve"> </w:t>
      </w:r>
      <w:r>
        <w:t xml:space="preserve">mammals and birds (Supplementary Table 28). Looking at birds or mammals will not</w:t>
      </w:r>
      <w:r>
        <w:t xml:space="preserve"> </w:t>
      </w:r>
      <w:r>
        <w:t xml:space="preserve">find the amphibian gaps.</w:t>
      </w:r>
    </w:p>
    <w:p>
      <w:pPr>
        <w:pStyle w:val="BodyText"/>
      </w:pPr>
      <w:r>
        <w:t xml:space="preserve">A model-free institutional correlate points the same way. Of China’s 1,028</w:t>
      </w:r>
      <w:r>
        <w:t xml:space="preserve"> </w:t>
      </w:r>
      <w:r>
        <w:t xml:space="preserve">nature reserves, 17.9% name mammals among their protection targets and 12.8%</w:t>
      </w:r>
      <w:r>
        <w:t xml:space="preserve"> </w:t>
      </w:r>
      <w:r>
        <w:t xml:space="preserve">name birds, against 3.2% for amphibians and</w:t>
      </w:r>
      <w:r>
        <w:t xml:space="preserve"> </w:t>
      </w:r>
      <w:r>
        <w:rPr>
          <w:b/>
          <w:bCs/>
        </w:rPr>
        <w:t xml:space="preserve">1.1%</w:t>
      </w:r>
      <w:r>
        <w:t xml:space="preserve"> </w:t>
      </w:r>
      <w:r>
        <w:t xml:space="preserve">for reptiles</w:t>
      </w:r>
      <w:r>
        <w:t xml:space="preserve"> </w:t>
      </w:r>
      <w:r>
        <w:t xml:space="preserve">(Supplementary Table 30). Consistent with this, only for mammals is assemblage</w:t>
      </w:r>
      <w:r>
        <w:t xml:space="preserve"> </w:t>
      </w:r>
      <w:r>
        <w:t xml:space="preserve">trait volume positively associated with reserve coverage (+0.11); for reptiles</w:t>
      </w:r>
      <w:r>
        <w:t xml:space="preserve"> </w:t>
      </w:r>
      <w:r>
        <w:t xml:space="preserve">it is negative (−0.05), and birds and amphibians are indistinguishable from</w:t>
      </w:r>
      <w:r>
        <w:t xml:space="preserve"> </w:t>
      </w:r>
      <w:r>
        <w:t xml:space="preserve">zero.</w:t>
      </w:r>
    </w:p>
    <w:bookmarkEnd w:id="27"/>
    <w:bookmarkStart w:id="28" w:name="X73d1057187d884d0eac2418a3b8303ca4446e32"/>
    <w:p>
      <w:pPr>
        <w:pStyle w:val="Heading3"/>
      </w:pPr>
      <w:r>
        <w:t xml:space="preserve">3.8 The reserve network’s shortfall is large, and the gap is directional</w:t>
      </w:r>
    </w:p>
    <w:p>
      <w:pPr>
        <w:pStyle w:val="FirstParagraph"/>
      </w:pPr>
      <w:r>
        <w:t xml:space="preserve">China’s nature reserves occupy 10.36% of the land, but only</w:t>
      </w:r>
      <w:r>
        <w:t xml:space="preserve"> </w:t>
      </w:r>
      <w:r>
        <w:rPr>
          <w:b/>
          <w:bCs/>
        </w:rPr>
        <w:t xml:space="preserve">2.9%</w:t>
      </w:r>
      <w:r>
        <w:t xml:space="preserve"> </w:t>
      </w:r>
      <w:r>
        <w:t xml:space="preserve">of species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1.5%</w:t>
      </w:r>
      <w:r>
        <w:t xml:space="preserve"> </w:t>
      </w:r>
      <w:r>
        <w:t xml:space="preserve">of functional bins reach 30% of range protected; an optimal layout</w:t>
      </w:r>
      <w:r>
        <w:t xml:space="preserve"> </w:t>
      </w:r>
      <w:r>
        <w:t xml:space="preserve">of the same area reaches 50.7% and 48.0% (Fig. 8a,b; Supplementary Table 42).</w:t>
      </w:r>
      <w:r>
        <w:t xml:space="preserve"> </w:t>
      </w:r>
      <w:r>
        <w:t xml:space="preserve">Part of this gap reflects concentration — reserves are thinly spread across many</w:t>
      </w:r>
      <w:r>
        <w:t xml:space="preserve"> </w:t>
      </w:r>
      <w:r>
        <w:t xml:space="preserve">cells whereas the greedy solution takes whole cells — and we do not read it as</w:t>
      </w:r>
      <w:r>
        <w:t xml:space="preserve"> </w:t>
      </w:r>
      <w:r>
        <w:t xml:space="preserve">evidence that reserves are simply misplaced.</w:t>
      </w:r>
    </w:p>
    <w:p>
      <w:pPr>
        <w:pStyle w:val="BodyText"/>
      </w:pPr>
      <w:r>
        <w:t xml:space="preserve">Target currency matters most when the budget is tight. At 10% of land a</w:t>
      </w:r>
      <w:r>
        <w:t xml:space="preserve"> </w:t>
      </w:r>
      <w:r>
        <w:t xml:space="preserve">trait-space target covers 46.7% of functional bins against 35.0% for a species</w:t>
      </w:r>
      <w:r>
        <w:t xml:space="preserve"> </w:t>
      </w:r>
      <w:r>
        <w:t xml:space="preserve">target, and at 17% of land 62.8% against 52.9%; by 30% the two converge (92.2%</w:t>
      </w:r>
      <w:r>
        <w:t xml:space="preserve"> </w:t>
      </w:r>
      <w:r>
        <w:t xml:space="preserve">versus 92.3%) (Supplementary Table 41). What matters at the 30% budget is</w:t>
      </w:r>
      <w:r>
        <w:t xml:space="preserve"> </w:t>
      </w:r>
      <w:r>
        <w:t xml:space="preserve">complementarity rather than richness ranking, worth about 9 percentage points</w:t>
      </w:r>
      <w:r>
        <w:t xml:space="preserve"> </w:t>
      </w:r>
      <w:r>
        <w:t xml:space="preserve">(86.4% versus 77.1% of species). The two currencies nevertheless place</w:t>
      </w:r>
      <w:r>
        <w:t xml:space="preserve"> </w:t>
      </w:r>
      <w:r>
        <w:t xml:space="preserve">priorities differently: of the 30% solutions, 764 cells are shared but 377 are</w:t>
      </w:r>
      <w:r>
        <w:t xml:space="preserve"> </w:t>
      </w:r>
      <w:r>
        <w:t xml:space="preserve">selected only by the species target and 379 only by the trait target — about a</w:t>
      </w:r>
      <w:r>
        <w:t xml:space="preserve"> </w:t>
      </w:r>
      <w:r>
        <w:t xml:space="preserve">third of the priority network depends on the currency (Fig. 8e).</w:t>
      </w:r>
    </w:p>
    <w:p>
      <w:pPr>
        <w:pStyle w:val="BodyText"/>
      </w:pPr>
      <w:r>
        <w:t xml:space="preserve">Under-protection is not random. Of twelve axis coefficients, seven are</w:t>
      </w:r>
      <w:r>
        <w:t xml:space="preserve"> </w:t>
      </w:r>
      <w:r>
        <w:t xml:space="preserve">significant after BH correction, and their directions are interpretable</w:t>
      </w:r>
      <w:r>
        <w:t xml:space="preserve"> </w:t>
      </w:r>
      <w:r>
        <w:t xml:space="preserve">(Fig. 8c; Supplementary Table 43). Slow-paced species are under-protected in</w:t>
      </w:r>
      <w:r>
        <w:t xml:space="preserve"> </w:t>
      </w:r>
      <w:r>
        <w:t xml:space="preserve">mammals (−0.123,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5 × 10⁻⁴) and amphibians (−0.182,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6 × 10⁻⁵). The</w:t>
      </w:r>
      <w:r>
        <w:t xml:space="preserve"> </w:t>
      </w:r>
      <w:r>
        <w:t xml:space="preserve">niche axis runs narrow to broad, so its negative coefficients in mammals</w:t>
      </w:r>
      <w:r>
        <w:t xml:space="preserve"> </w:t>
      </w:r>
      <w:r>
        <w:t xml:space="preserve">(−0.177) and amphibians (−0.240,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5 × 10⁻¹⁶) identify</w:t>
      </w:r>
      <w:r>
        <w:t xml:space="preserve"> </w:t>
      </w:r>
      <w:r>
        <w:rPr>
          <w:b/>
          <w:bCs/>
        </w:rPr>
        <w:t xml:space="preserve">wide-ranging</w:t>
      </w:r>
      <w:r>
        <w:rPr>
          <w:b/>
          <w:bCs/>
        </w:rPr>
        <w:t xml:space="preserve"> </w:t>
      </w:r>
      <w:r>
        <w:rPr>
          <w:b/>
          <w:bCs/>
        </w:rPr>
        <w:t xml:space="preserve">generalists</w:t>
      </w:r>
      <w:r>
        <w:t xml:space="preserve">, not specialists, as the under-protected end; reptiles reverse</w:t>
      </w:r>
      <w:r>
        <w:t xml:space="preserve"> </w:t>
      </w:r>
      <w:r>
        <w:t xml:space="preserve">(+0.211). Body size also</w:t>
      </w:r>
      <w:r>
        <w:t xml:space="preserve"> </w:t>
      </w:r>
      <w:r>
        <w:rPr>
          <w:b/>
          <w:bCs/>
        </w:rPr>
        <w:t xml:space="preserve">reverses</w:t>
      </w:r>
      <w:r>
        <w:t xml:space="preserve">: large mammals are better protected</w:t>
      </w:r>
      <w:r>
        <w:t xml:space="preserve"> </w:t>
      </w:r>
      <w:r>
        <w:t xml:space="preserve">(+0.283,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7 × 10⁻¹⁵) while large reptiles are under-protected (−0.307,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2 × 10⁻¹⁰). No bird axis is significant; birds have the widest ranges and</w:t>
      </w:r>
      <w:r>
        <w:t xml:space="preserve"> </w:t>
      </w:r>
      <w:r>
        <w:t xml:space="preserve">are the easiest to cover incidentally. H3 is not refuted.</w:t>
      </w:r>
    </w:p>
    <w:bookmarkEnd w:id="28"/>
    <w:bookmarkStart w:id="29" w:name="X43ddd162a38ebc2e3c33125fcdc8819a5d14213"/>
    <w:p>
      <w:pPr>
        <w:pStyle w:val="Heading3"/>
      </w:pPr>
      <w:r>
        <w:t xml:space="preserve">3.9 The generalist gap is not the alarming direction it appears</w:t>
      </w:r>
    </w:p>
    <w:p>
      <w:pPr>
        <w:pStyle w:val="FirstParagraph"/>
      </w:pPr>
      <w:r>
        <w:t xml:space="preserve">Using recorded use of artificial habitat as a direct trait-level measure of</w:t>
      </w:r>
      <w:r>
        <w:t xml:space="preserve"> </w:t>
      </w:r>
      <w:r>
        <w:t xml:space="preserve">land-use tolerance, niche breadth dominates tolerance (log-odds +2.34</w:t>
      </w:r>
      <w:r>
        <w:t xml:space="preserve"> </w:t>
      </w:r>
      <w:r>
        <w:t xml:space="preserve">amphibians, +1.86 birds, +2.51 mammals; 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10⁻¹²), large-bodied species</w:t>
      </w:r>
      <w:r>
        <w:t xml:space="preserve"> </w:t>
      </w:r>
      <w:r>
        <w:t xml:space="preserve">are less tolerant (−0.30 to −0.45), and pace of life is irrelevant</w:t>
      </w:r>
      <w:r>
        <w:t xml:space="preserve"> </w:t>
      </w:r>
      <w:r>
        <w:t xml:space="preserve">(Extended Data Fig. 25; Supplementary Table 49). At the assemblage level the</w:t>
      </w:r>
      <w:r>
        <w:t xml:space="preserve"> </w:t>
      </w:r>
      <w:r>
        <w:t xml:space="preserve">tolerant fraction rises with human footprint (ρ = 0.37 amphibians, 0.30 birds,</w:t>
      </w:r>
      <w:r>
        <w:t xml:space="preserve"> </w:t>
      </w:r>
      <w:r>
        <w:t xml:space="preserve">0.55 mammals) — the anthropogenic filter read off a trait rather than inferred</w:t>
      </w:r>
      <w:r>
        <w:t xml:space="preserve"> </w:t>
      </w:r>
      <w:r>
        <w:t xml:space="preserve">from a CWM.</w:t>
      </w:r>
    </w:p>
    <w:p>
      <w:pPr>
        <w:pStyle w:val="BodyText"/>
      </w:pPr>
      <w:r>
        <w:t xml:space="preserve">The key test reverses the expectation. Species that tolerate artificial habitat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protected group in all three classes with adequate coverage</w:t>
      </w:r>
      <w:r>
        <w:t xml:space="preserve"> </w:t>
      </w:r>
      <w:r>
        <w:t xml:space="preserve">(quasi-binomial coefficient −0.445 amphibians, −0.217 birds, −0.424 mammals;</w:t>
      </w:r>
      <w:r>
        <w:t xml:space="preserve"> </w:t>
      </w:r>
      <w:r>
        <w:t xml:space="preserve">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2 × 10⁻⁵). Median range protected is 4.34%, 5.68% and 5.65% for</w:t>
      </w:r>
      <w:r>
        <w:t xml:space="preserve"> </w:t>
      </w:r>
      <w:r>
        <w:t xml:space="preserve">intolerant species against 2.74%, 4.89% and 5.29% for tolerant ones</w:t>
      </w:r>
      <w:r>
        <w:t xml:space="preserve"> </w:t>
      </w:r>
      <w:r>
        <w:t xml:space="preserve">(Supplementary Table 50). Reserves sit in remote cold high country, which is</w:t>
      </w:r>
      <w:r>
        <w:t xml:space="preserve"> </w:t>
      </w:r>
      <w:r>
        <w:t xml:space="preserve">where specialists are; generalists live in the human-dominated east where</w:t>
      </w:r>
      <w:r>
        <w:t xml:space="preserve"> </w:t>
      </w:r>
      <w:r>
        <w:t xml:space="preserve">reserves are scarce. The generalist gap is therefore real but reassuring in</w:t>
      </w:r>
      <w:r>
        <w:t xml:space="preserve"> </w:t>
      </w:r>
      <w:r>
        <w:t xml:space="preserve">direction: the species least able to persist in modified habitat are, at</w:t>
      </w:r>
      <w:r>
        <w:t xml:space="preserve"> </w:t>
      </w:r>
      <w:r>
        <w:t xml:space="preserve">present, the better protected.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The three results form one argument. Trait structure is not one thing, so it</w:t>
      </w:r>
      <w:r>
        <w:t xml:space="preserve"> </w:t>
      </w:r>
      <w:r>
        <w:t xml:space="preserve">must be examined dimension by dimension (Q1). Each dimension is governed by</w:t>
      </w:r>
      <w:r>
        <w:t xml:space="preserve"> </w:t>
      </w:r>
      <w:r>
        <w:t xml:space="preserve">climate, but the strength of that governance is set by thermoregulatory mode</w:t>
      </w:r>
      <w:r>
        <w:t xml:space="preserve"> </w:t>
      </w:r>
      <w:r>
        <w:t xml:space="preserve">(Q2). Because classes are filtered at different strengths and are poor</w:t>
      </w:r>
      <w:r>
        <w:t xml:space="preserve"> </w:t>
      </w:r>
      <w:r>
        <w:t xml:space="preserve">surrogates for one another, a species-currency network leaves a functional gap</w:t>
      </w:r>
      <w:r>
        <w:t xml:space="preserve"> </w:t>
      </w:r>
      <w:r>
        <w:t xml:space="preserve">whose direction is predictable — and, being predictable, locatable and closable</w:t>
      </w:r>
      <w:r>
        <w:t xml:space="preserve"> </w:t>
      </w:r>
      <w:r>
        <w:t xml:space="preserve">(Q3).</w:t>
      </w:r>
    </w:p>
    <w:p>
      <w:pPr>
        <w:pStyle w:val="BodyText"/>
      </w:pPr>
      <w:r>
        <w:rPr>
          <w:b/>
          <w:bCs/>
        </w:rPr>
        <w:t xml:space="preserve">Thermal buffering as a first-order factor.</w:t>
      </w:r>
      <w:r>
        <w:t xml:space="preserve"> </w:t>
      </w:r>
      <w:r>
        <w:t xml:space="preserve">The ectotherm excess for ambient</w:t>
      </w:r>
      <w:r>
        <w:t xml:space="preserve"> </w:t>
      </w:r>
      <w:r>
        <w:t xml:space="preserve">energy is large and specification-robust, and it scales with how much thermal</w:t>
      </w:r>
      <w:r>
        <w:t xml:space="preserve"> </w:t>
      </w:r>
      <w:r>
        <w:t xml:space="preserve">information a predictor carries. That dose-response is the strongest form the</w:t>
      </w:r>
      <w:r>
        <w:t xml:space="preserve"> </w:t>
      </w:r>
      <w:r>
        <w:t xml:space="preserve">evidence takes, and it emerged only because a single negative control failed</w:t>
      </w:r>
      <w:r>
        <w:t xml:space="preserve"> </w:t>
      </w:r>
      <w:r>
        <w:t xml:space="preserve">under an alternative operationalisation. We report the failure and the</w:t>
      </w:r>
      <w:r>
        <w:t xml:space="preserve"> </w:t>
      </w:r>
      <w:r>
        <w:t xml:space="preserve">replacement rather than the version that first worked, because the failure is</w:t>
      </w:r>
      <w:r>
        <w:t xml:space="preserve"> </w:t>
      </w:r>
      <w:r>
        <w:t xml:space="preserve">informative:</w:t>
      </w:r>
      <w:r>
        <w:t xml:space="preserve"> </w:t>
      </w:r>
      <w:r>
        <w:t xml:space="preserve">“habitat heterogeneity”</w:t>
      </w:r>
      <w:r>
        <w:t xml:space="preserve"> </w:t>
      </w:r>
      <w:r>
        <w:t xml:space="preserve">is not one thing either, and proxies for it</w:t>
      </w:r>
      <w:r>
        <w:t xml:space="preserve"> </w:t>
      </w:r>
      <w:r>
        <w:t xml:space="preserve">differ by an order of magnitude in thermal content.</w:t>
      </w:r>
    </w:p>
    <w:p>
      <w:pPr>
        <w:pStyle w:val="BodyText"/>
      </w:pPr>
      <w:r>
        <w:rPr>
          <w:b/>
          <w:bCs/>
        </w:rPr>
        <w:t xml:space="preserve">Two methodological conclusions travel beyond this system.</w:t>
      </w:r>
      <w:r>
        <w:t xml:space="preserve"> </w:t>
      </w:r>
      <w:r>
        <w:t xml:space="preserve">First, composite</w:t>
      </w:r>
      <w:r>
        <w:t xml:space="preserve"> </w:t>
      </w:r>
      <w:r>
        <w:t xml:space="preserve">trait axes dilute rather than concentrate environmental signal at the assemblage</w:t>
      </w:r>
      <w:r>
        <w:t xml:space="preserve"> </w:t>
      </w:r>
      <w:r>
        <w:t xml:space="preserve">level; investigators who summarise traits with PC1 before regression should</w:t>
      </w:r>
      <w:r>
        <w:t xml:space="preserve"> </w:t>
      </w:r>
      <w:r>
        <w:t xml:space="preserve">expect to understate their effects, and the practice of reporting only the</w:t>
      </w:r>
      <w:r>
        <w:t xml:space="preserve"> </w:t>
      </w:r>
      <w:r>
        <w:t xml:space="preserve">composite should be reconsidered. Second, equiprobable null models manufacture</w:t>
      </w:r>
      <w:r>
        <w:t xml:space="preserve"> </w:t>
      </w:r>
      <w:r>
        <w:t xml:space="preserve">trait clustering in taxa with many narrow-ranged species. Switching to occupancy</w:t>
      </w:r>
      <w:r>
        <w:t xml:space="preserve"> </w:t>
      </w:r>
      <w:r>
        <w:t xml:space="preserve">weighting moved amphibian SES from +1.70 to +0.08 and eliminated an apparent</w:t>
      </w:r>
      <w:r>
        <w:t xml:space="preserve"> </w:t>
      </w:r>
      <w:r>
        <w:t xml:space="preserve">over-dispersion signal that we had initially reported and have withdrawn</w:t>
      </w:r>
      <w:r>
        <w:t xml:space="preserve"> </w:t>
      </w:r>
      <w:r>
        <w:t xml:space="preserve">(Extended Data Fig. 8).</w:t>
      </w:r>
    </w:p>
    <w:p>
      <w:pPr>
        <w:pStyle w:val="BodyText"/>
      </w:pPr>
      <w:r>
        <w:rPr>
          <w:b/>
          <w:bCs/>
        </w:rPr>
        <w:t xml:space="preserve">Conservation implications are specific rather than general.</w:t>
      </w:r>
      <w:r>
        <w:t xml:space="preserve"> </w:t>
      </w:r>
      <w:r>
        <w:t xml:space="preserve">The problem is</w:t>
      </w:r>
      <w:r>
        <w:t xml:space="preserve"> </w:t>
      </w:r>
      <w:r>
        <w:t xml:space="preserve">not principally that China protects too little land, but where and how</w:t>
      </w:r>
      <w:r>
        <w:t xml:space="preserve"> </w:t>
      </w:r>
      <w:r>
        <w:t xml:space="preserve">concentratedly: the same 10.36% could deliver an order of magnitude more target</w:t>
      </w:r>
      <w:r>
        <w:t xml:space="preserve"> </w:t>
      </w:r>
      <w:r>
        <w:t xml:space="preserve">attainment. Expansion toward 30% should be assessed in trait as well as species</w:t>
      </w:r>
      <w:r>
        <w:t xml:space="preserve"> </w:t>
      </w:r>
      <w:r>
        <w:t xml:space="preserve">currency, because the two disagree on about a third of the priority network, and</w:t>
      </w:r>
      <w:r>
        <w:t xml:space="preserve"> </w:t>
      </w:r>
      <w:r>
        <w:t xml:space="preserve">the disagreement is largest exactly at the tight budgets that describe the</w:t>
      </w:r>
      <w:r>
        <w:t xml:space="preserve"> </w:t>
      </w:r>
      <w:r>
        <w:t xml:space="preserve">present situation. The directional findings translate into concrete screening</w:t>
      </w:r>
      <w:r>
        <w:t xml:space="preserve"> </w:t>
      </w:r>
      <w:r>
        <w:t xml:space="preserve">criteria: large reptiles, slow-paced mammals and amphibians, and — with the</w:t>
      </w:r>
      <w:r>
        <w:t xml:space="preserve"> </w:t>
      </w:r>
      <w:r>
        <w:t xml:space="preserve">caveat above — wide-ranging generalists are the ends a reserve system built</w:t>
      </w:r>
      <w:r>
        <w:t xml:space="preserve"> </w:t>
      </w:r>
      <w:r>
        <w:t xml:space="preserve">around large flagship mammals systematically misses. That the designation record</w:t>
      </w:r>
      <w:r>
        <w:t xml:space="preserve"> </w:t>
      </w:r>
      <w:r>
        <w:t xml:space="preserve">itself names mammals sixteen times as often as reptiles suggests the mechanism</w:t>
      </w:r>
      <w:r>
        <w:t xml:space="preserve"> </w:t>
      </w:r>
      <w:r>
        <w:t xml:space="preserve">is institutional as much as ecological, and therefore addressable.</w:t>
      </w:r>
    </w:p>
    <w:p>
      <w:pPr>
        <w:pStyle w:val="BodyText"/>
      </w:pPr>
      <w:r>
        <w:rPr>
          <w:b/>
          <w:bCs/>
        </w:rPr>
        <w:t xml:space="preserve">Amphibians as the sharpest case.</w:t>
      </w:r>
      <w:r>
        <w:t xml:space="preserve"> </w:t>
      </w:r>
      <w:r>
        <w:t xml:space="preserve">Amphibian gaps overlap those of other</w:t>
      </w:r>
      <w:r>
        <w:t xml:space="preserve"> </w:t>
      </w:r>
      <w:r>
        <w:t xml:space="preserve">classes by 0.074–0.086, against 0.315 between birds and mammals. This was</w:t>
      </w:r>
      <w:r>
        <w:t xml:space="preserve"> </w:t>
      </w:r>
      <w:r>
        <w:t xml:space="preserve">invisible while amphibians were excluded from the gap analysis on a</w:t>
      </w:r>
      <w:r>
        <w:t xml:space="preserve"> </w:t>
      </w:r>
      <w:r>
        <w:t xml:space="preserve">trait-coverage argument that no longer applies once one size measure per class</w:t>
      </w:r>
      <w:r>
        <w:t xml:space="preserve"> </w:t>
      </w:r>
      <w:r>
        <w:t xml:space="preserve">is adopted. It is the strongest form the surrogacy result takes, and it means</w:t>
      </w:r>
      <w:r>
        <w:t xml:space="preserve"> </w:t>
      </w:r>
      <w:r>
        <w:t xml:space="preserve">amphibian priorities must be derived from amphibian data.</w:t>
      </w:r>
    </w:p>
    <w:bookmarkStart w:id="31" w:name="limitations"/>
    <w:p>
      <w:pPr>
        <w:pStyle w:val="Heading3"/>
      </w:pPr>
      <w:r>
        <w:t xml:space="preserve">4.1 Limitations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Range maps overstate local occupancy.</w:t>
      </w:r>
      <w:r>
        <w:t xml:space="preserve"> </w:t>
      </w:r>
      <w:r>
        <w:t xml:space="preserve">We use them for comparability with</w:t>
      </w:r>
      <w:r>
        <w:t xml:space="preserve"> </w:t>
      </w:r>
      <w:r>
        <w:t xml:space="preserve">the antecedent studies and validate against GBIF-derived assemblages, where</w:t>
      </w:r>
      <w:r>
        <w:t xml:space="preserve"> </w:t>
      </w:r>
      <w:r>
        <w:t xml:space="preserve">conclusions hold in direction. One earlier claim — that range maps understate</w:t>
      </w:r>
      <w:r>
        <w:t xml:space="preserve"> </w:t>
      </w:r>
      <w:r>
        <w:t xml:space="preserve">anthropogenic effects — survives only for birds once the same cells are</w:t>
      </w:r>
      <w:r>
        <w:t xml:space="preserve"> </w:t>
      </w:r>
      <w:r>
        <w:t xml:space="preserve">compared, and has been narrowed accordingly.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Protection fraction is an upper bound</w:t>
      </w:r>
      <w:r>
        <w:t xml:space="preserve">: it does not deduct unsuitable</w:t>
      </w:r>
      <w:r>
        <w:t xml:space="preserve"> </w:t>
      </w:r>
      <w:r>
        <w:t xml:space="preserve">habitat inside reserves. The bias runs the same way for all species, so it</w:t>
      </w:r>
      <w:r>
        <w:t xml:space="preserve"> </w:t>
      </w:r>
      <w:r>
        <w:t xml:space="preserve">does not affect comparisons</w:t>
      </w:r>
      <w:r>
        <w:t xml:space="preserve"> </w:t>
      </w:r>
      <w:r>
        <w:rPr>
          <w:i/>
          <w:iCs/>
        </w:rPr>
        <w:t xml:space="preserve">between traits</w:t>
      </w:r>
      <w:r>
        <w:t xml:space="preserve">, which is what we use it for.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efficiency gap partly reflects concentration</w:t>
      </w:r>
      <w:r>
        <w:t xml:space="preserve"> </w:t>
      </w:r>
      <w:r>
        <w:t xml:space="preserve">rather than siting; we</w:t>
      </w:r>
      <w:r>
        <w:t xml:space="preserve"> </w:t>
      </w:r>
      <w:r>
        <w:t xml:space="preserve">have not separated the two components, which would require a constrained</w:t>
      </w:r>
      <w:r>
        <w:t xml:space="preserve"> </w:t>
      </w:r>
      <w:r>
        <w:t xml:space="preserve">optimisation that preserves the observed size distribution of reserves.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Only nature reserves are included</w:t>
      </w:r>
      <w:r>
        <w:t xml:space="preserve">, not national parks or other</w:t>
      </w:r>
      <w:r>
        <w:t xml:space="preserve"> </w:t>
      </w:r>
      <w:r>
        <w:t xml:space="preserve">categories, so coverage is a lower bound on China’s protected-area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Ectotherm life-history values are substantially imputed.</w:t>
      </w:r>
      <w:r>
        <w:t xml:space="preserve"> </w:t>
      </w:r>
      <w:r>
        <w:t xml:space="preserve">Supplementary</w:t>
      </w:r>
      <w:r>
        <w:t xml:space="preserve"> </w:t>
      </w:r>
      <w:r>
        <w:t xml:space="preserve">Table 36 gives observed fractions trait by trait; traits below 30% observed</w:t>
      </w:r>
      <w:r>
        <w:t xml:space="preserve"> </w:t>
      </w:r>
      <w:r>
        <w:t xml:space="preserve">are excluded from core analyses. Generation length remains unavailable for</w:t>
      </w:r>
      <w:r>
        <w:t xml:space="preserve"> </w:t>
      </w:r>
      <w:r>
        <w:t xml:space="preserve">both ectotherm classes and is the single largest remaining data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family-level thermal contrast is threshold-sensitive</w:t>
      </w:r>
      <w:r>
        <w:t xml:space="preserve"> </w:t>
      </w:r>
      <w:r>
        <w:t xml:space="preserve">(§3.4) and</w:t>
      </w:r>
      <w:r>
        <w:t xml:space="preserve"> </w:t>
      </w:r>
      <w:r>
        <w:t xml:space="preserve">should not be cited independently of the grid-cell result.</w:t>
      </w:r>
    </w:p>
    <w:bookmarkEnd w:id="31"/>
    <w:bookmarkStart w:id="32" w:name="outlook"/>
    <w:p>
      <w:pPr>
        <w:pStyle w:val="Heading3"/>
      </w:pPr>
      <w:r>
        <w:t xml:space="preserve">4.2 Outlook</w:t>
      </w:r>
    </w:p>
    <w:p>
      <w:pPr>
        <w:pStyle w:val="FirstParagraph"/>
      </w:pPr>
      <w:r>
        <w:t xml:space="preserve">Three extensions follow directly. Compiling ectotherm generation length from the</w:t>
      </w:r>
      <w:r>
        <w:t xml:space="preserve"> </w:t>
      </w:r>
      <w:r>
        <w:t xml:space="preserve">Chinese-language literature would allow a fast–slow axis defined by both ends</w:t>
      </w:r>
      <w:r>
        <w:t xml:space="preserve"> </w:t>
      </w:r>
      <w:r>
        <w:t xml:space="preserve">rather than by a residual. Because ectotherm trait structure is energy-dominated,</w:t>
      </w:r>
      <w:r>
        <w:t xml:space="preserve"> </w:t>
      </w:r>
      <w:r>
        <w:t xml:space="preserve">warming scenarios predict faster compositional change in ectotherm assemblages —</w:t>
      </w:r>
      <w:r>
        <w:t xml:space="preserve"> </w:t>
      </w:r>
      <w:r>
        <w:t xml:space="preserve">a falsifiable prediction the present framework can be projected onto. And the</w:t>
      </w:r>
      <w:r>
        <w:t xml:space="preserve"> </w:t>
      </w:r>
      <w:r>
        <w:t xml:space="preserve">50-km priority layer is a starting point, not a plan: within the identified</w:t>
      </w:r>
      <w:r>
        <w:t xml:space="preserve"> </w:t>
      </w:r>
      <w:r>
        <w:t xml:space="preserve">cells, land tenure, land use and connectivity would determine implementable</w:t>
      </w:r>
      <w:r>
        <w:t xml:space="preserve"> </w:t>
      </w:r>
      <w:r>
        <w:t xml:space="preserve">parcels.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All code, documentation, figures and aggregated per-cell results are available</w:t>
      </w:r>
      <w:r>
        <w:t xml:space="preserve"> </w:t>
      </w:r>
      <w:r>
        <w:t xml:space="preserve">at https://github.com/dingchenchen6/china-vertebrate-trait-biogeography</w:t>
      </w:r>
      <w:r>
        <w:t xml:space="preserve"> </w:t>
      </w:r>
      <w:r>
        <w:t xml:space="preserve">(seed 20260801; results fully reproducible). IUCN Red List spatial data may not</w:t>
      </w:r>
      <w:r>
        <w:t xml:space="preserve"> </w:t>
      </w:r>
      <w:r>
        <w:t xml:space="preserve">be redistributed, so species-by-cell matrices and species-level trait tables are</w:t>
      </w:r>
      <w:r>
        <w:t xml:space="preserve"> </w:t>
      </w:r>
      <w:r>
        <w:t xml:space="preserve">excluded and their provenance is documented in</w:t>
      </w:r>
      <w:r>
        <w:t xml:space="preserve"> </w:t>
      </w:r>
      <w:r>
        <w:rPr>
          <w:rStyle w:val="VerbatimChar"/>
        </w:rPr>
        <w:t xml:space="preserve">DATA.md</w:t>
      </w:r>
      <w:r>
        <w:t xml:space="preserve">; both are rebuilt by</w:t>
      </w:r>
      <w:r>
        <w:t xml:space="preserve"> </w:t>
      </w:r>
      <w:r>
        <w:t xml:space="preserve">the scripts from their public sources.</w:t>
      </w:r>
    </w:p>
    <w:bookmarkEnd w:id="34"/>
    <w:bookmarkStart w:id="35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C.D. designed the study, assembled the data, performed all analyses, produced</w:t>
      </w:r>
      <w:r>
        <w:t xml:space="preserve"> </w:t>
      </w:r>
      <w:r>
        <w:t xml:space="preserve">the figures and wrote the manuscript.</w:t>
      </w:r>
    </w:p>
    <w:bookmarkEnd w:id="35"/>
    <w:bookmarkStart w:id="36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p>
      <w:r>
        <w:pict>
          <v:rect style="width:0;height:1.5pt" o:hralign="center" o:hrstd="t" o:hr="t"/>
        </w:pict>
      </w:r>
    </w:p>
    <w:bookmarkEnd w:id="36"/>
    <w:bookmarkStart w:id="37" w:name="figures"/>
    <w:p>
      <w:pPr>
        <w:pStyle w:val="Heading2"/>
      </w:pPr>
      <w:r>
        <w:t xml:space="preserve">Figures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1</w:t>
            </w:r>
          </w:p>
        </w:tc>
        <w:tc>
          <w:tcPr/>
          <w:p>
            <w:pPr>
              <w:pStyle w:val="Compact"/>
            </w:pPr>
            <w:r>
              <w:t xml:space="preserve">Study design, trait coverage and the assemblage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2</w:t>
            </w:r>
          </w:p>
        </w:tc>
        <w:tc>
          <w:tcPr/>
          <w:p>
            <w:pPr>
              <w:pStyle w:val="Compact"/>
            </w:pPr>
            <w:r>
              <w:t xml:space="preserve">Three</w:t>
            </w:r>
            <w:r>
              <w:t xml:space="preserve"> </w:t>
            </w:r>
            <w:r>
              <w:rPr>
                <w:i/>
                <w:iCs/>
              </w:rPr>
              <w:t xml:space="preserve">a priori</w:t>
            </w:r>
            <w:r>
              <w:t xml:space="preserve"> </w:t>
            </w:r>
            <w:r>
              <w:t xml:space="preserve">functional axes and their independence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3</w:t>
            </w:r>
          </w:p>
        </w:tc>
        <w:tc>
          <w:tcPr/>
          <w:p>
            <w:pPr>
              <w:pStyle w:val="Compact"/>
            </w:pPr>
            <w:r>
              <w:t xml:space="preserve">Geography of assemblage trait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4</w:t>
            </w:r>
          </w:p>
        </w:tc>
        <w:tc>
          <w:tcPr/>
          <w:p>
            <w:pPr>
              <w:pStyle w:val="Compact"/>
            </w:pPr>
            <w:r>
              <w:t xml:space="preserve">Which biodiversity hypothesis drives assemblage trait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5</w:t>
            </w:r>
          </w:p>
        </w:tc>
        <w:tc>
          <w:tcPr/>
          <w:p>
            <w:pPr>
              <w:pStyle w:val="Compact"/>
            </w:pPr>
            <w:r>
              <w:t xml:space="preserve">Fourth-corner max test of trait–environment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6</w:t>
            </w:r>
          </w:p>
        </w:tc>
        <w:tc>
          <w:tcPr/>
          <w:p>
            <w:pPr>
              <w:pStyle w:val="Compact"/>
            </w:pPr>
            <w:r>
              <w:t xml:space="preserve">Endotherms and ectotherms differ in trait–environment coupling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7</w:t>
            </w:r>
          </w:p>
        </w:tc>
        <w:tc>
          <w:tcPr/>
          <w:p>
            <w:pPr>
              <w:pStyle w:val="Compact"/>
            </w:pPr>
            <w:r>
              <w:t xml:space="preserve">No single class is a reliable surrogate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8</w:t>
            </w:r>
          </w:p>
        </w:tc>
        <w:tc>
          <w:tcPr/>
          <w:p>
            <w:pPr>
              <w:pStyle w:val="Compact"/>
            </w:pPr>
            <w:r>
              <w:t xml:space="preserve">Conservation design: complementarity, under-protected traits and 30×30</w:t>
            </w:r>
          </w:p>
        </w:tc>
      </w:tr>
    </w:tbl>
    <w:p>
      <w:pPr>
        <w:pStyle w:val="BodyText"/>
      </w:pPr>
      <w:r>
        <w:t xml:space="preserve">Extended Data Figs 1–25 and the full manifest are listed in</w:t>
      </w:r>
      <w:r>
        <w:t xml:space="preserve"> </w:t>
      </w:r>
      <w:r>
        <w:rPr>
          <w:rStyle w:val="VerbatimChar"/>
        </w:rPr>
        <w:t xml:space="preserve">04_results/tables/table_00_figure_manifest.csv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Brum, F.T. et al. (2017) Global priorities for conservation across multiple</w:t>
      </w:r>
      <w:r>
        <w:t xml:space="preserve"> </w:t>
      </w:r>
      <w:r>
        <w:t xml:space="preserve">dimensions of mammalian diversity.</w:t>
      </w:r>
      <w:r>
        <w:t xml:space="preserve"> </w:t>
      </w:r>
      <w:r>
        <w:rPr>
          <w:i/>
          <w:iCs/>
        </w:rPr>
        <w:t xml:space="preserve">PNAS</w:t>
      </w:r>
      <w:r>
        <w:t xml:space="preserve"> </w:t>
      </w:r>
      <w:r>
        <w:t xml:space="preserve">114, 7641–7646.</w:t>
      </w:r>
    </w:p>
    <w:p>
      <w:pPr>
        <w:pStyle w:val="BodyText"/>
      </w:pPr>
      <w:r>
        <w:t xml:space="preserve">Buckley, L.B. et al. (2012) Broad-scale ecological implications of ectothermy</w:t>
      </w:r>
      <w:r>
        <w:t xml:space="preserve"> </w:t>
      </w:r>
      <w:r>
        <w:t xml:space="preserve">and endothermy in changing environments.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21,</w:t>
      </w:r>
      <w:r>
        <w:t xml:space="preserve"> </w:t>
      </w:r>
      <w:r>
        <w:t xml:space="preserve">873–885.</w:t>
      </w:r>
    </w:p>
    <w:p>
      <w:pPr>
        <w:pStyle w:val="BodyText"/>
      </w:pPr>
      <w:r>
        <w:t xml:space="preserve">Currie, D.J. et al. (2004) Predictions and tests of climate-based hypotheses of</w:t>
      </w:r>
      <w:r>
        <w:t xml:space="preserve"> </w:t>
      </w:r>
      <w:r>
        <w:t xml:space="preserve">broad-scale variation in taxonomic richness.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7, 1121–1134.</w:t>
      </w:r>
    </w:p>
    <w:p>
      <w:pPr>
        <w:pStyle w:val="BodyText"/>
      </w:pPr>
      <w:r>
        <w:t xml:space="preserve">Deutsch, C.A. et al. (2008) Impacts of climate warming on terrestrial ectotherms</w:t>
      </w:r>
      <w:r>
        <w:t xml:space="preserve"> </w:t>
      </w:r>
      <w:r>
        <w:t xml:space="preserve">across latitude.</w:t>
      </w:r>
      <w:r>
        <w:t xml:space="preserve"> </w:t>
      </w:r>
      <w:r>
        <w:rPr>
          <w:i/>
          <w:iCs/>
        </w:rPr>
        <w:t xml:space="preserve">PNAS</w:t>
      </w:r>
      <w:r>
        <w:t xml:space="preserve"> </w:t>
      </w:r>
      <w:r>
        <w:t xml:space="preserve">105, 6668–6672.</w:t>
      </w:r>
    </w:p>
    <w:p>
      <w:pPr>
        <w:pStyle w:val="BodyText"/>
      </w:pPr>
      <w:r>
        <w:t xml:space="preserve">Díaz, S. et al. (2016) The global spectrum of plant form and function.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529, 167–171.</w:t>
      </w:r>
    </w:p>
    <w:p>
      <w:pPr>
        <w:pStyle w:val="BodyText"/>
      </w:pPr>
      <w:r>
        <w:t xml:space="preserve">Ding, C. et al. (2022) A dataset on the traits of terrestrial mammals in China.</w:t>
      </w:r>
      <w:r>
        <w:t xml:space="preserve"> </w:t>
      </w:r>
      <w:r>
        <w:rPr>
          <w:i/>
          <w:iCs/>
        </w:rPr>
        <w:t xml:space="preserve">Biodiversity Science</w:t>
      </w:r>
      <w:r>
        <w:t xml:space="preserve"> </w:t>
      </w:r>
      <w:r>
        <w:t xml:space="preserve">30, 21520. </w:t>
      </w:r>
      <w:r>
        <w:rPr>
          <w:rFonts w:hint="eastAsia"/>
        </w:rPr>
        <w:t xml:space="preserve">[丁晨晨等,</w:t>
      </w:r>
      <w:r>
        <w:t xml:space="preserve"> </w:t>
      </w:r>
      <w:r>
        <w:rPr>
          <w:rFonts w:hint="eastAsia"/>
        </w:rPr>
        <w:t xml:space="preserve">中国陆生哺乳动物特征数据集]</w:t>
      </w:r>
    </w:p>
    <w:p>
      <w:pPr>
        <w:pStyle w:val="BodyText"/>
      </w:pPr>
      <w:r>
        <w:t xml:space="preserve">Dray, S. &amp; Legendre, P. (2008) Testing the species traits–environment</w:t>
      </w:r>
      <w:r>
        <w:t xml:space="preserve"> </w:t>
      </w:r>
      <w:r>
        <w:t xml:space="preserve">relationships: the fourth-corner problem revisited.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89, 3400–3412.</w:t>
      </w:r>
    </w:p>
    <w:p>
      <w:pPr>
        <w:pStyle w:val="BodyText"/>
      </w:pPr>
      <w:r>
        <w:t xml:space="preserve">Etard, A. et al. (2020) Global gaps in trait data for terrestrial vertebrates.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29, 2143–2158.</w:t>
      </w:r>
    </w:p>
    <w:p>
      <w:pPr>
        <w:pStyle w:val="BodyText"/>
      </w:pPr>
      <w:r>
        <w:t xml:space="preserve">Etard, A. &amp; Newbold, T. (2024) Species-level correlates of land-use responses</w:t>
      </w:r>
      <w:r>
        <w:t xml:space="preserve"> </w:t>
      </w:r>
      <w:r>
        <w:t xml:space="preserve">and climate-change sensitivity in terrestrial vertebrates.</w:t>
      </w:r>
      <w:r>
        <w:t xml:space="preserve"> </w:t>
      </w:r>
      <w:r>
        <w:rPr>
          <w:i/>
          <w:iCs/>
        </w:rPr>
        <w:t xml:space="preserve">Conservation</w:t>
      </w:r>
      <w:r>
        <w:rPr>
          <w:i/>
          <w:iCs/>
        </w:rPr>
        <w:t xml:space="preserve"> </w:t>
      </w:r>
      <w:r>
        <w:rPr>
          <w:i/>
          <w:iCs/>
        </w:rPr>
        <w:t xml:space="preserve">Biology</w:t>
      </w:r>
      <w:r>
        <w:t xml:space="preserve"> </w:t>
      </w:r>
      <w:r>
        <w:t xml:space="preserve">38, e14208.</w:t>
      </w:r>
    </w:p>
    <w:p>
      <w:pPr>
        <w:pStyle w:val="BodyText"/>
      </w:pPr>
      <w:r>
        <w:t xml:space="preserve">Hawkins, B.A. et al. (2003) Energy, water, and broad-scale geographic patterns</w:t>
      </w:r>
      <w:r>
        <w:t xml:space="preserve"> </w:t>
      </w:r>
      <w:r>
        <w:t xml:space="preserve">of species richness.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84, 3105–3117.</w:t>
      </w:r>
    </w:p>
    <w:p>
      <w:pPr>
        <w:pStyle w:val="BodyText"/>
      </w:pPr>
      <w:r>
        <w:t xml:space="preserve">Huang, M. et al. (2023) [Chinese terrestrial vertebrate trait biogeography]</w:t>
      </w:r>
      <w:r>
        <w:t xml:space="preserve"> </w:t>
      </w:r>
      <w:r>
        <w:rPr>
          <w:i/>
          <w:iCs/>
        </w:rPr>
        <w:t xml:space="preserve">The Innovation</w:t>
      </w:r>
      <w:r>
        <w:t xml:space="preserve"> </w:t>
      </w:r>
      <w:r>
        <w:t xml:space="preserve">4, 100371.</w:t>
      </w:r>
    </w:p>
    <w:p>
      <w:pPr>
        <w:pStyle w:val="BodyText"/>
      </w:pPr>
      <w:r>
        <w:t xml:space="preserve">Kerr, J.T. &amp; Packer, L. (1997) Habitat heterogeneity as a determinant of mammal</w:t>
      </w:r>
      <w:r>
        <w:t xml:space="preserve"> </w:t>
      </w:r>
      <w:r>
        <w:t xml:space="preserve">species richness in high-energy regions.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385, 252–254.</w:t>
      </w:r>
    </w:p>
    <w:p>
      <w:pPr>
        <w:pStyle w:val="BodyText"/>
      </w:pPr>
      <w:r>
        <w:t xml:space="preserve">Margules, C.R. &amp; Pressey, R.L. (2000) Systematic conservation planning.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405, 243–253.</w:t>
      </w:r>
    </w:p>
    <w:p>
      <w:pPr>
        <w:pStyle w:val="BodyText"/>
      </w:pPr>
      <w:r>
        <w:t xml:space="preserve">McGill, B.J. et al. (2006) Rebuilding community ecology from functional traits.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21, 178–185.</w:t>
      </w:r>
    </w:p>
    <w:p>
      <w:pPr>
        <w:pStyle w:val="BodyText"/>
      </w:pPr>
      <w:r>
        <w:t xml:space="preserve">Moura, M.R. &amp; Jetz, W. (2021) Shortfalls and opportunities in terrestrial</w:t>
      </w:r>
      <w:r>
        <w:t xml:space="preserve"> </w:t>
      </w:r>
      <w:r>
        <w:t xml:space="preserve">vertebrate species discovery.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5, 631–639.</w:t>
      </w:r>
    </w:p>
    <w:p>
      <w:pPr>
        <w:pStyle w:val="BodyText"/>
      </w:pPr>
      <w:r>
        <w:t xml:space="preserve">O’Brien, E.M. (1998) Water–energy dynamics, climate, and prediction of woody</w:t>
      </w:r>
      <w:r>
        <w:t xml:space="preserve"> </w:t>
      </w:r>
      <w:r>
        <w:t xml:space="preserve">plant species richness.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 </w:t>
      </w:r>
      <w:r>
        <w:t xml:space="preserve">25, 379–398.</w:t>
      </w:r>
    </w:p>
    <w:p>
      <w:pPr>
        <w:pStyle w:val="BodyText"/>
      </w:pPr>
      <w:r>
        <w:t xml:space="preserve">Oliveira, B.F. et al. (2017) AmphiBIO, a global database for amphibian</w:t>
      </w:r>
      <w:r>
        <w:t xml:space="preserve"> </w:t>
      </w:r>
      <w:r>
        <w:t xml:space="preserve">ecological traits.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4, 170123.</w:t>
      </w:r>
    </w:p>
    <w:p>
      <w:pPr>
        <w:pStyle w:val="BodyText"/>
      </w:pPr>
      <w:r>
        <w:t xml:space="preserve">Oskyrko, O. et al. (2024) ReptTraits: a comprehensive dataset of ecological</w:t>
      </w:r>
      <w:r>
        <w:t xml:space="preserve"> </w:t>
      </w:r>
      <w:r>
        <w:t xml:space="preserve">traits in reptiles.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11, 243.</w:t>
      </w:r>
    </w:p>
    <w:p>
      <w:pPr>
        <w:pStyle w:val="BodyText"/>
      </w:pPr>
      <w:r>
        <w:t xml:space="preserve">Peres-Neto, P.R. et al. (2017) Linking trait variation to the environment:</w:t>
      </w:r>
      <w:r>
        <w:t xml:space="preserve"> </w:t>
      </w:r>
      <w:r>
        <w:t xml:space="preserve">critical issues with community-weighted mean correlation resolved by the</w:t>
      </w:r>
      <w:r>
        <w:t xml:space="preserve"> </w:t>
      </w:r>
      <w:r>
        <w:t xml:space="preserve">fourth-corner approach.</w:t>
      </w:r>
      <w:r>
        <w:t xml:space="preserve"> </w:t>
      </w:r>
      <w:r>
        <w:rPr>
          <w:i/>
          <w:iCs/>
        </w:rPr>
        <w:t xml:space="preserve">Ecography</w:t>
      </w:r>
      <w:r>
        <w:t xml:space="preserve"> </w:t>
      </w:r>
      <w:r>
        <w:t xml:space="preserve">40, 806–816.</w:t>
      </w:r>
    </w:p>
    <w:p>
      <w:pPr>
        <w:pStyle w:val="BodyText"/>
      </w:pPr>
      <w:r>
        <w:t xml:space="preserve">Pollock, L.J. et al. (2017) Large conservation gains possible for global</w:t>
      </w:r>
      <w:r>
        <w:t xml:space="preserve"> </w:t>
      </w:r>
      <w:r>
        <w:t xml:space="preserve">biodiversity facets.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546, 141–144.</w:t>
      </w:r>
    </w:p>
    <w:p>
      <w:pPr>
        <w:pStyle w:val="BodyText"/>
      </w:pPr>
      <w:r>
        <w:t xml:space="preserve">Rodrigues, A.S.L. &amp; Gaston, K.J. (2001) How large do reserve networks need to</w:t>
      </w:r>
      <w:r>
        <w:t xml:space="preserve"> </w:t>
      </w:r>
      <w:r>
        <w:t xml:space="preserve">be?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4, 602–609.</w:t>
      </w:r>
    </w:p>
    <w:p>
      <w:pPr>
        <w:pStyle w:val="BodyText"/>
      </w:pPr>
      <w:r>
        <w:t xml:space="preserve">Song, Y. et al. (2022) [A dataset on the traits of amphibians in China]</w:t>
      </w:r>
      <w:r>
        <w:t xml:space="preserve"> </w:t>
      </w:r>
      <w:r>
        <w:rPr>
          <w:i/>
          <w:iCs/>
        </w:rPr>
        <w:t xml:space="preserve">Biodiversity Science</w:t>
      </w:r>
      <w:r>
        <w:t xml:space="preserve"> </w:t>
      </w:r>
      <w:r>
        <w:t xml:space="preserve">30. </w:t>
      </w:r>
      <w:r>
        <w:rPr>
          <w:rFonts w:hint="eastAsia"/>
        </w:rPr>
        <w:t xml:space="preserve">[宋云枫等]</w:t>
      </w:r>
    </w:p>
    <w:p>
      <w:pPr>
        <w:pStyle w:val="BodyText"/>
      </w:pPr>
      <w:r>
        <w:t xml:space="preserve">Soria, C.D. et al. (2021) COMBINE: a coalesced mammal database of intrinsic and</w:t>
      </w:r>
      <w:r>
        <w:t xml:space="preserve"> </w:t>
      </w:r>
      <w:r>
        <w:t xml:space="preserve">extrinsic traits.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102, e03344.</w:t>
      </w:r>
    </w:p>
    <w:p>
      <w:pPr>
        <w:pStyle w:val="BodyText"/>
      </w:pPr>
      <w:r>
        <w:t xml:space="preserve">Stekhoven, D.J. &amp; Bühlmann, P. (2012) MissForest — non-parametric missing value</w:t>
      </w:r>
      <w:r>
        <w:t xml:space="preserve"> </w:t>
      </w:r>
      <w:r>
        <w:t xml:space="preserve">imputation for mixed-type data.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28, 112–118.</w:t>
      </w:r>
    </w:p>
    <w:p>
      <w:pPr>
        <w:pStyle w:val="BodyText"/>
      </w:pPr>
      <w:r>
        <w:t xml:space="preserve">Sun, Y. et al. (2025) Environmental and evolutionary factors jointly shape</w:t>
      </w:r>
      <w:r>
        <w:t xml:space="preserve"> </w:t>
      </w:r>
      <w:r>
        <w:t xml:space="preserve">life-history trait diversity of terrestrial vertebrates across China.</w:t>
      </w:r>
      <w:r>
        <w:t xml:space="preserve"> </w:t>
      </w:r>
      <w:r>
        <w:rPr>
          <w:i/>
          <w:iCs/>
        </w:rPr>
        <w:t xml:space="preserve">Zoological Research</w:t>
      </w:r>
      <w:r>
        <w:t xml:space="preserve"> </w:t>
      </w:r>
      <w:r>
        <w:t xml:space="preserve">46.</w:t>
      </w:r>
    </w:p>
    <w:p>
      <w:pPr>
        <w:pStyle w:val="BodyText"/>
      </w:pPr>
      <w:r>
        <w:t xml:space="preserve">Sunday, J.M. et al. (2014) Thermal-safety margins and the necessity of</w:t>
      </w:r>
      <w:r>
        <w:t xml:space="preserve"> </w:t>
      </w:r>
      <w:r>
        <w:t xml:space="preserve">thermoregulatory behaviour across latitude and elevation.</w:t>
      </w:r>
      <w:r>
        <w:t xml:space="preserve"> </w:t>
      </w:r>
      <w:r>
        <w:rPr>
          <w:i/>
          <w:iCs/>
        </w:rPr>
        <w:t xml:space="preserve">PNAS</w:t>
      </w:r>
      <w:r>
        <w:t xml:space="preserve"> </w:t>
      </w:r>
      <w:r>
        <w:t xml:space="preserve">111,</w:t>
      </w:r>
      <w:r>
        <w:t xml:space="preserve"> </w:t>
      </w:r>
      <w:r>
        <w:t xml:space="preserve">5610–5615.</w:t>
      </w:r>
    </w:p>
    <w:p>
      <w:pPr>
        <w:pStyle w:val="BodyText"/>
      </w:pPr>
      <w:r>
        <w:t xml:space="preserve">ter Braak, C.J.F. et al. (2017) Fourth-corner correlation is a score test</w:t>
      </w:r>
      <w:r>
        <w:t xml:space="preserve"> </w:t>
      </w:r>
      <w:r>
        <w:t xml:space="preserve">statistic in a log-linear trait–environment model.</w:t>
      </w:r>
      <w:r>
        <w:t xml:space="preserve"> </w:t>
      </w:r>
      <w:r>
        <w:rPr>
          <w:i/>
          <w:iCs/>
        </w:rPr>
        <w:t xml:space="preserve">Environmental and Ecological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Statistics</w:t>
      </w:r>
      <w:r>
        <w:t xml:space="preserve"> </w:t>
      </w:r>
      <w:r>
        <w:t xml:space="preserve">24, 1–17.</w:t>
      </w:r>
    </w:p>
    <w:p>
      <w:pPr>
        <w:pStyle w:val="BodyText"/>
      </w:pPr>
      <w:r>
        <w:t xml:space="preserve">Tobias, J.A. et al. (2022) AVONET: morphological, ecological and geographical</w:t>
      </w:r>
      <w:r>
        <w:t xml:space="preserve"> </w:t>
      </w:r>
      <w:r>
        <w:t xml:space="preserve">data for all birds.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25, 581–597.</w:t>
      </w:r>
    </w:p>
    <w:p>
      <w:pPr>
        <w:pStyle w:val="BodyText"/>
      </w:pPr>
      <w:r>
        <w:t xml:space="preserve">Tuanmu, M.-N. &amp; Jetz, W. (2015) A global, remote sensing-based characterization</w:t>
      </w:r>
      <w:r>
        <w:t xml:space="preserve"> </w:t>
      </w:r>
      <w:r>
        <w:t xml:space="preserve">of terrestrial habitat heterogeneity.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24,</w:t>
      </w:r>
      <w:r>
        <w:t xml:space="preserve"> </w:t>
      </w:r>
      <w:r>
        <w:t xml:space="preserve">1329–1339.</w:t>
      </w:r>
    </w:p>
    <w:p>
      <w:pPr>
        <w:pStyle w:val="BodyText"/>
      </w:pPr>
      <w:r>
        <w:t xml:space="preserve">Violle, C. et al. (2007) Let the concept of trait be functional!</w:t>
      </w:r>
      <w:r>
        <w:t xml:space="preserve"> </w:t>
      </w:r>
      <w:r>
        <w:rPr>
          <w:i/>
          <w:iCs/>
        </w:rPr>
        <w:t xml:space="preserve">Oikos</w:t>
      </w:r>
      <w:r>
        <w:t xml:space="preserve"> </w:t>
      </w:r>
      <w:r>
        <w:t xml:space="preserve">116,</w:t>
      </w:r>
      <w:r>
        <w:t xml:space="preserve"> </w:t>
      </w:r>
      <w:r>
        <w:t xml:space="preserve">882–892.</w:t>
      </w:r>
    </w:p>
    <w:p>
      <w:pPr>
        <w:pStyle w:val="BodyText"/>
      </w:pPr>
      <w:r>
        <w:t xml:space="preserve">Violle, C. et al. (2014) The emergence and promise of functional biogeography.</w:t>
      </w:r>
      <w:r>
        <w:t xml:space="preserve"> </w:t>
      </w:r>
      <w:r>
        <w:rPr>
          <w:i/>
          <w:iCs/>
        </w:rPr>
        <w:t xml:space="preserve">PNAS</w:t>
      </w:r>
      <w:r>
        <w:t xml:space="preserve"> </w:t>
      </w:r>
      <w:r>
        <w:t xml:space="preserve">111, 13690–13696.</w:t>
      </w:r>
    </w:p>
    <w:p>
      <w:pPr>
        <w:pStyle w:val="BodyText"/>
      </w:pPr>
      <w:r>
        <w:t xml:space="preserve">Wang, J. et al. (2023) [A dataset on the traits of snakes in China]</w:t>
      </w:r>
      <w:r>
        <w:t xml:space="preserve"> </w:t>
      </w:r>
      <w:r>
        <w:rPr>
          <w:i/>
          <w:iCs/>
        </w:rPr>
        <w:t xml:space="preserve">Biodiversity Science</w:t>
      </w:r>
      <w:r>
        <w:t xml:space="preserve">. </w:t>
      </w:r>
      <w:r>
        <w:rPr>
          <w:rFonts w:hint="eastAsia"/>
        </w:rPr>
        <w:t xml:space="preserve">[王江等]</w:t>
      </w:r>
    </w:p>
    <w:p>
      <w:pPr>
        <w:pStyle w:val="BodyText"/>
      </w:pPr>
      <w:r>
        <w:t xml:space="preserve">Wright, D.H. (1983) Species-energy theory: an extension of species-area theory.</w:t>
      </w:r>
      <w:r>
        <w:t xml:space="preserve"> </w:t>
      </w:r>
      <w:r>
        <w:rPr>
          <w:i/>
          <w:iCs/>
        </w:rPr>
        <w:t xml:space="preserve">Oikos</w:t>
      </w:r>
      <w:r>
        <w:t xml:space="preserve"> </w:t>
      </w:r>
      <w:r>
        <w:t xml:space="preserve">41, 496–506.</w:t>
      </w:r>
    </w:p>
    <w:p>
      <w:pPr>
        <w:pStyle w:val="BodyText"/>
      </w:pPr>
      <w:r>
        <w:t xml:space="preserve">Zhong, Y. et al. (2022) [A dataset on the traits of lizards in China]</w:t>
      </w:r>
      <w:r>
        <w:t xml:space="preserve"> </w:t>
      </w:r>
      <w:r>
        <w:rPr>
          <w:i/>
          <w:iCs/>
        </w:rPr>
        <w:t xml:space="preserve">Biodiversity Science</w:t>
      </w:r>
      <w:r>
        <w:t xml:space="preserve"> </w:t>
      </w:r>
      <w:r>
        <w:t xml:space="preserve">30. </w:t>
      </w:r>
      <w:r>
        <w:rPr>
          <w:rFonts w:hint="eastAsia"/>
        </w:rPr>
        <w:t xml:space="preserve">[钟雨茜等]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2026-08-07T09:05:46Z</dcterms:created>
  <dcterms:modified xsi:type="dcterms:W3CDTF">2026-08-07T09:05:46Z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