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25412cf3cdbf2eeeeeb50b306843c81459f6a87"/>
    <w:p>
      <w:pPr>
        <w:pStyle w:val="Heading1"/>
      </w:pPr>
      <w:r>
        <w:t xml:space="preserve">Thermoregulatory mode sets the strength of environmental filtering on vertebrate assemblage traits, and leaves a directional conservation gap</w:t>
      </w:r>
    </w:p>
    <w:p>
      <w:pPr>
        <w:pStyle w:val="FirstParagraph"/>
      </w:pPr>
      <w:r>
        <w:rPr>
          <w:b/>
          <w:bCs/>
        </w:rPr>
        <w:t xml:space="preserve">Chenchen Ding</w:t>
      </w:r>
    </w:p>
    <w:p>
      <w:pPr>
        <w:pStyle w:val="BodyText"/>
      </w:pPr>
      <w:r>
        <w:t xml:space="preserve">School of Life Sciences, Peking University, Beijing 100871, China</w:t>
      </w:r>
      <w:r>
        <w:t xml:space="preserve"> </w:t>
      </w:r>
      <w:r>
        <w:t xml:space="preserve">Correspondence: jialeding1220@gmail.com</w:t>
      </w:r>
    </w:p>
    <w:p>
      <w:pPr>
        <w:pStyle w:val="BodyText"/>
      </w:pPr>
      <w:r>
        <w:rPr>
          <w:b/>
          <w:bCs/>
        </w:rPr>
        <w:t xml:space="preserve">Running title</w:t>
      </w:r>
      <w:r>
        <w:t xml:space="preserve"> </w:t>
      </w:r>
      <w:r>
        <w:t xml:space="preserve">Thermal mode and vertebrate trait biogeography</w:t>
      </w:r>
    </w:p>
    <w:p>
      <w:pPr>
        <w:pStyle w:val="BodyText"/>
      </w:pPr>
      <w:r>
        <w:rPr>
          <w:b/>
          <w:bCs/>
        </w:rPr>
        <w:t xml:space="preserve">Word count</w:t>
      </w:r>
      <w:r>
        <w:t xml:space="preserve"> </w:t>
      </w:r>
      <w:r>
        <w:t xml:space="preserve">Abstract 198 | Main text 4,298 (Introduction 1,244, Results 1,791, Discussion 1,263) | Methods 2,414 | Figures 8 | Extended Data figures 25 | Supplementary Tables 28 | References 100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Trait-based biogeography usually collapses many traits into one composite axis</w:t>
      </w:r>
      <w:r>
        <w:t xml:space="preserve"> </w:t>
      </w:r>
      <w:r>
        <w:t xml:space="preserve">and then asks which environmental gradient explains it. Using 2,837 terrestrial</w:t>
      </w:r>
      <w:r>
        <w:t xml:space="preserve"> </w:t>
      </w:r>
      <w:r>
        <w:t xml:space="preserve">vertebrate species across 3,782 50-km cells of China, we show that both steps</w:t>
      </w:r>
      <w:r>
        <w:t xml:space="preserve"> </w:t>
      </w:r>
      <w:r>
        <w:t xml:space="preserve">discard information that conservation planning needs. Three functional axes</w:t>
      </w:r>
      <w:r>
        <w:t xml:space="preserve"> </w:t>
      </w:r>
      <w:r>
        <w:t xml:space="preserve">defined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— body size, pace of life and niche breadth — are</w:t>
      </w:r>
      <w:r>
        <w:t xml:space="preserve"> </w:t>
      </w:r>
      <w:r>
        <w:t xml:space="preserve">near-independent within every class (|</w:t>
      </w:r>
      <w:r>
        <w:rPr>
          <w:i/>
          <w:iCs/>
        </w:rPr>
        <w:t xml:space="preserve">r</w:t>
      </w:r>
      <w:r>
        <w:t xml:space="preserve">| ≤ 0.30), and combining traits into a</w:t>
      </w:r>
      <w:r>
        <w:t xml:space="preserve"> </w:t>
      </w:r>
      <w:r>
        <w:t xml:space="preserve">composite weakens the environmental signal in six of eight comparisons. Climate</w:t>
      </w:r>
      <w:r>
        <w:t xml:space="preserve"> </w:t>
      </w:r>
      <w:r>
        <w:t xml:space="preserve">dominates trait composition in all four classes, but thermoregulation sets its</w:t>
      </w:r>
      <w:r>
        <w:t xml:space="preserve"> </w:t>
      </w:r>
      <w:r>
        <w:t xml:space="preserve">strength: ambient energy affects ectotherm assemblages about 2.3 times more than</w:t>
      </w:r>
      <w:r>
        <w:t xml:space="preserve"> </w:t>
      </w:r>
      <w:r>
        <w:t xml:space="preserve">endotherm assemblages (1.98–2.63 across specifications). Because ectotherms also</w:t>
      </w:r>
      <w:r>
        <w:t xml:space="preserve"> </w:t>
      </w:r>
      <w:r>
        <w:t xml:space="preserve">respond more strongly to five of six predictors, we report thermal buffering as</w:t>
      </w:r>
      <w:r>
        <w:t xml:space="preserve"> </w:t>
      </w:r>
      <w:r>
        <w:t xml:space="preserve">partially supported; the ectotherm excess nonetheless scales with a predictor’s</w:t>
      </w:r>
      <w:r>
        <w:t xml:space="preserve"> </w:t>
      </w:r>
      <w:r>
        <w:t xml:space="preserve">thermal content (Spearman ρ = 0.74). Under the fourth-corner max test, naive</w:t>
      </w:r>
      <w:r>
        <w:t xml:space="preserve"> </w:t>
      </w:r>
      <w:r>
        <w:t xml:space="preserve">regression inflates significance 1.27–1.72-fold. China’s nature reserves cover</w:t>
      </w:r>
      <w:r>
        <w:t xml:space="preserve"> </w:t>
      </w:r>
      <w:r>
        <w:t xml:space="preserve">10.36% of the land but bring only 2.9% of species to the Kunming–Montreal</w:t>
      </w:r>
      <w:r>
        <w:t xml:space="preserve"> </w:t>
      </w:r>
      <w:r>
        <w:t xml:space="preserve">30%-of-range target, against 50.7% for an optimal layout of the same area. The</w:t>
      </w:r>
      <w:r>
        <w:t xml:space="preserve"> </w:t>
      </w:r>
      <w:r>
        <w:t xml:space="preserve">shortfall has a direction: large mammals are the best-protected trait end and</w:t>
      </w:r>
      <w:r>
        <w:t xml:space="preserve"> </w:t>
      </w:r>
      <w:r>
        <w:t xml:space="preserve">large reptiles the worst. We map the cells that close these gaps.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 </w:t>
      </w:r>
      <w:r>
        <w:t xml:space="preserve">functional biogeography; community-weighted mean; thermal</w:t>
      </w:r>
      <w:r>
        <w:t xml:space="preserve"> </w:t>
      </w:r>
      <w:r>
        <w:t xml:space="preserve">buffering; fourth-corner; systematic conservation planning; Kunming–Montreal</w:t>
      </w:r>
      <w:r>
        <w:t xml:space="preserve"> </w:t>
      </w:r>
      <w:r>
        <w:t xml:space="preserve">Target 3; protected areas; China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functional composition of assemblages — which trait values co-occur, where —</w:t>
      </w:r>
      <w:r>
        <w:t xml:space="preserve"> </w:t>
      </w:r>
      <w:r>
        <w:t xml:space="preserve">links biodiversity pattern to ecological process more directly than species</w:t>
      </w:r>
      <w:r>
        <w:t xml:space="preserve"> </w:t>
      </w:r>
      <w:r>
        <w:t xml:space="preserve">counts do. Traits govern how organisms acquire resources, tolerate abiotic</w:t>
      </w:r>
      <w:r>
        <w:t xml:space="preserve"> </w:t>
      </w:r>
      <w:r>
        <w:t xml:space="preserve">stress and respond to human pressure (McGill et al. 2006; Violle et al. 2007),</w:t>
      </w:r>
      <w:r>
        <w:t xml:space="preserve"> </w:t>
      </w:r>
      <w:r>
        <w:t xml:space="preserve">and shifts in assemblage-level trait composition foreshadow losses of ecological</w:t>
      </w:r>
      <w:r>
        <w:t xml:space="preserve"> </w:t>
      </w:r>
      <w:r>
        <w:t xml:space="preserve">strategies that species richness alone cannot register (Cooke et al. 2019;</w:t>
      </w:r>
      <w:r>
        <w:t xml:space="preserve"> </w:t>
      </w:r>
      <w:r>
        <w:t xml:space="preserve">Carmona et al. 2021; Toussaint et al. 2021). Scaling this logic up from plots to</w:t>
      </w:r>
      <w:r>
        <w:t xml:space="preserve"> </w:t>
      </w:r>
      <w:r>
        <w:t xml:space="preserve">maps founded functional biogeography (Violle et al. 2014; Lavorel &amp; Garnier</w:t>
      </w:r>
      <w:r>
        <w:t xml:space="preserve"> </w:t>
      </w:r>
      <w:r>
        <w:t xml:space="preserve">2002). For plants the programme has matured into a widely accepted global</w:t>
      </w:r>
      <w:r>
        <w:t xml:space="preserve"> </w:t>
      </w:r>
      <w:r>
        <w:t xml:space="preserve">spectrum of form and function (Díaz et al. 2016) and continental syntheses of</w:t>
      </w:r>
      <w:r>
        <w:t xml:space="preserve"> </w:t>
      </w:r>
      <w:r>
        <w:t xml:space="preserve">community trait–environment relationships (Swenson et al. 2012; Lamanna et al.</w:t>
      </w:r>
      <w:r>
        <w:t xml:space="preserve"> </w:t>
      </w:r>
      <w:r>
        <w:t xml:space="preserve">2014; Bruelheide et al. 2018). For terrestrial vertebrates the equivalent</w:t>
      </w:r>
      <w:r>
        <w:t xml:space="preserve"> </w:t>
      </w:r>
      <w:r>
        <w:t xml:space="preserve">synthesis is still assembling, propelled by a rapid accumulation of trait</w:t>
      </w:r>
      <w:r>
        <w:t xml:space="preserve"> </w:t>
      </w:r>
      <w:r>
        <w:t xml:space="preserve">databases (Wilman-era compilations superseded by AVONET, COMBINE, AmphiBIO,</w:t>
      </w:r>
      <w:r>
        <w:t xml:space="preserve"> </w:t>
      </w:r>
      <w:r>
        <w:t xml:space="preserve">ReptTraits and the phylogeny-informed TetrapodTraits backbone; Tobias et al.</w:t>
      </w:r>
      <w:r>
        <w:t xml:space="preserve"> </w:t>
      </w:r>
      <w:r>
        <w:t xml:space="preserve">2022; Soria et al. 2021; Oliveira et al. 2017; Oskyrko et al. 2024; Moura et al.</w:t>
      </w:r>
      <w:r>
        <w:t xml:space="preserve"> </w:t>
      </w:r>
      <w:r>
        <w:t xml:space="preserve">2024). Yet three specific gaps remain between what these data could answer and</w:t>
      </w:r>
      <w:r>
        <w:t xml:space="preserve"> </w:t>
      </w:r>
      <w:r>
        <w:t xml:space="preserve">what has been asked of them.</w:t>
      </w:r>
    </w:p>
    <w:p>
      <w:pPr>
        <w:pStyle w:val="BodyText"/>
      </w:pPr>
      <w:r>
        <w:rPr>
          <w:b/>
          <w:bCs/>
        </w:rPr>
        <w:t xml:space="preserve">Gap 1 — Dimensionality and cross-class comparability.</w:t>
      </w:r>
      <w:r>
        <w:t xml:space="preserve"> </w:t>
      </w:r>
      <w:r>
        <w:t xml:space="preserve">Multi-trait studies</w:t>
      </w:r>
      <w:r>
        <w:t xml:space="preserve"> </w:t>
      </w:r>
      <w:r>
        <w:t xml:space="preserve">routinely compress traits into a leading principal component or a multivariate</w:t>
      </w:r>
      <w:r>
        <w:t xml:space="preserve"> </w:t>
      </w:r>
      <w:r>
        <w:t xml:space="preserve">index before asking what drives them. Two problems follow. First, a within-class</w:t>
      </w:r>
      <w:r>
        <w:t xml:space="preserve"> </w:t>
      </w:r>
      <w:r>
        <w:t xml:space="preserve">PCA is free to rotate differently in every class: in our data PC1 is dominated</w:t>
      </w:r>
      <w:r>
        <w:t xml:space="preserve"> </w:t>
      </w:r>
      <w:r>
        <w:t xml:space="preserve">by niche breadth in birds and amphibians, by body size and fecundity in</w:t>
      </w:r>
      <w:r>
        <w:t xml:space="preserve"> </w:t>
      </w:r>
      <w:r>
        <w:t xml:space="preserve">reptiles, and by vertical stratum use in mammals (Extended Data Fig. 1), so</w:t>
      </w:r>
      <w:r>
        <w:t xml:space="preserve"> </w:t>
      </w:r>
      <w:r>
        <w:t xml:space="preserve">comparing</w:t>
      </w:r>
      <w:r>
        <w:t xml:space="preserve"> </w:t>
      </w:r>
      <w:r>
        <w:t xml:space="preserve">“PC1”</w:t>
      </w:r>
      <w:r>
        <w:t xml:space="preserve"> </w:t>
      </w:r>
      <w:r>
        <w:t xml:space="preserve">across classes compares four different quantities. Whether a</w:t>
      </w:r>
      <w:r>
        <w:t xml:space="preserve"> </w:t>
      </w:r>
      <w:r>
        <w:t xml:space="preserve">fixed,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set of axes — the assemblage-level analogue of the plant</w:t>
      </w:r>
      <w:r>
        <w:t xml:space="preserve"> </w:t>
      </w:r>
      <w:r>
        <w:t xml:space="preserve">strategy schemes that made cross-taxon comparison possible in botany (Díaz et</w:t>
      </w:r>
      <w:r>
        <w:t xml:space="preserve"> </w:t>
      </w:r>
      <w:r>
        <w:t xml:space="preserve">al. 2016) — can be defined for vertebrates, and whether such composites gain or</w:t>
      </w:r>
      <w:r>
        <w:t xml:space="preserve"> </w:t>
      </w:r>
      <w:r>
        <w:t xml:space="preserve">lose statistical sensitivity relative to their component traits, has not been</w:t>
      </w:r>
      <w:r>
        <w:t xml:space="preserve"> </w:t>
      </w:r>
      <w:r>
        <w:t xml:space="preserve">tested. Second, the workhorse statistic of the field, the community-weighted</w:t>
      </w:r>
      <w:r>
        <w:t xml:space="preserve"> </w:t>
      </w:r>
      <w:r>
        <w:t xml:space="preserve">mean (CWM), carries a known inferential defect: because every site shares one</w:t>
      </w:r>
      <w:r>
        <w:t xml:space="preserve"> </w:t>
      </w:r>
      <w:r>
        <w:t xml:space="preserve">trait vector, CWM–environment regressions inflate Type I error severely</w:t>
      </w:r>
      <w:r>
        <w:t xml:space="preserve"> </w:t>
      </w:r>
      <w:r>
        <w:t xml:space="preserve">(Dray &amp; Legendre 2008; Peres-Neto et al. 2017; Zelený 2018; Hawkins et al.</w:t>
      </w:r>
      <w:r>
        <w:t xml:space="preserve"> </w:t>
      </w:r>
      <w:r>
        <w:t xml:space="preserve">2017). The corrected procedure — the fourth-corner max test, which permutes</w:t>
      </w:r>
      <w:r>
        <w:t xml:space="preserve"> </w:t>
      </w:r>
      <w:r>
        <w:t xml:space="preserve">sites and species simultaneously (ter Braak et al. 2012) — exists but is rarely</w:t>
      </w:r>
      <w:r>
        <w:t xml:space="preserve"> </w:t>
      </w:r>
      <w:r>
        <w:t xml:space="preserve">applied in broad-scale trait biogeography, and the magnitude of the inflation</w:t>
      </w:r>
      <w:r>
        <w:t xml:space="preserve"> </w:t>
      </w:r>
      <w:r>
        <w:t xml:space="preserve">it corrects has seldom been quantified on real assemblage data.</w:t>
      </w:r>
    </w:p>
    <w:p>
      <w:pPr>
        <w:pStyle w:val="BodyText"/>
      </w:pPr>
      <w:r>
        <w:rPr>
          <w:b/>
          <w:bCs/>
        </w:rPr>
        <w:t xml:space="preserve">Gap 2 — Do richness hypotheses govern trait composition, and equally for</w:t>
      </w:r>
      <w:r>
        <w:rPr>
          <w:b/>
          <w:bCs/>
        </w:rPr>
        <w:t xml:space="preserve"> </w:t>
      </w:r>
      <w:r>
        <w:rPr>
          <w:b/>
          <w:bCs/>
        </w:rPr>
        <w:t xml:space="preserve">endotherms and ectotherms?</w:t>
      </w:r>
      <w:r>
        <w:t xml:space="preserve"> </w:t>
      </w:r>
      <w:r>
        <w:t xml:space="preserve">The classical hypotheses for broad-scale diversity</w:t>
      </w:r>
      <w:r>
        <w:t xml:space="preserve"> </w:t>
      </w:r>
      <w:r>
        <w:t xml:space="preserve">gradients — ambient energy (Wright 1983), water–energy dynamics (O’Brien 1998),</w:t>
      </w:r>
      <w:r>
        <w:t xml:space="preserve"> </w:t>
      </w:r>
      <w:r>
        <w:t xml:space="preserve">productivity, habitat heterogeneity (Kerr &amp; Packer 1997) and climatic</w:t>
      </w:r>
      <w:r>
        <w:t xml:space="preserve"> </w:t>
      </w:r>
      <w:r>
        <w:t xml:space="preserve">seasonality (Janzen 1967) — have been contrasted for three decades, almost</w:t>
      </w:r>
      <w:r>
        <w:t xml:space="preserve"> </w:t>
      </w:r>
      <w:r>
        <w:t xml:space="preserve">always with</w:t>
      </w:r>
      <w:r>
        <w:t xml:space="preserve"> </w:t>
      </w:r>
      <w:r>
        <w:rPr>
          <w:b/>
          <w:bCs/>
        </w:rPr>
        <w:t xml:space="preserve">species richness</w:t>
      </w:r>
      <w:r>
        <w:t xml:space="preserve"> </w:t>
      </w:r>
      <w:r>
        <w:t xml:space="preserve">as the response (Hawkins et al. 2003; Currie</w:t>
      </w:r>
      <w:r>
        <w:t xml:space="preserve"> </w:t>
      </w:r>
      <w:r>
        <w:t xml:space="preserve">et al. 2004). Whether the same hypotheses explain</w:t>
      </w:r>
      <w:r>
        <w:t xml:space="preserve"> </w:t>
      </w:r>
      <w:r>
        <w:rPr>
          <w:b/>
          <w:bCs/>
        </w:rPr>
        <w:t xml:space="preserve">trait composition</w:t>
      </w:r>
      <w:r>
        <w:t xml:space="preserve">, and</w:t>
      </w:r>
      <w:r>
        <w:t xml:space="preserve"> </w:t>
      </w:r>
      <w:r>
        <w:t xml:space="preserve">whether they apply with equal force to endotherms and ectotherms, remains</w:t>
      </w:r>
      <w:r>
        <w:t xml:space="preserve"> </w:t>
      </w:r>
      <w:r>
        <w:t xml:space="preserve">untested at the assemblage scale. Thermal biology supplies a directional</w:t>
      </w:r>
      <w:r>
        <w:t xml:space="preserve"> </w:t>
      </w:r>
      <w:r>
        <w:t xml:space="preserve">prediction. Ectotherm body temperature, performance and activity budgets track</w:t>
      </w:r>
      <w:r>
        <w:t xml:space="preserve"> </w:t>
      </w:r>
      <w:r>
        <w:t xml:space="preserve">environmental temperature directly (Huey &amp; Kingsolver 1989; Angilletta 2009;</w:t>
      </w:r>
      <w:r>
        <w:t xml:space="preserve"> </w:t>
      </w:r>
      <w:r>
        <w:t xml:space="preserve">Deutsch et al. 2008; Sunday et al. 2011, 2014; Kearney &amp; Porter 2009), whereas</w:t>
      </w:r>
      <w:r>
        <w:t xml:space="preserve"> </w:t>
      </w:r>
      <w:r>
        <w:t xml:space="preserve">endotherm thermal tolerances vary far less across climate (Khaliq et al. 2014;</w:t>
      </w:r>
      <w:r>
        <w:t xml:space="preserve"> </w:t>
      </w:r>
      <w:r>
        <w:t xml:space="preserve">Araújo et al. 2013). Endothermy should therefore</w:t>
      </w:r>
      <w:r>
        <w:t xml:space="preserve"> </w:t>
      </w:r>
      <w:r>
        <w:rPr>
          <w:i/>
          <w:iCs/>
        </w:rPr>
        <w:t xml:space="preserve">buffer</w:t>
      </w:r>
      <w:r>
        <w:t xml:space="preserve"> </w:t>
      </w:r>
      <w:r>
        <w:t xml:space="preserve">assemblage trait</w:t>
      </w:r>
      <w:r>
        <w:t xml:space="preserve"> </w:t>
      </w:r>
      <w:r>
        <w:t xml:space="preserve">composition against thermal filtering, making the ambient-energy hypothesis</w:t>
      </w:r>
      <w:r>
        <w:t xml:space="preserve"> </w:t>
      </w:r>
      <w:r>
        <w:t xml:space="preserve">stronger for ectotherms. Crucially, this prediction carries its own falsifier:</w:t>
      </w:r>
      <w:r>
        <w:t xml:space="preserve"> </w:t>
      </w:r>
      <w:r>
        <w:t xml:space="preserve">if ectotherm assemblages simply track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environmental gradient more</w:t>
      </w:r>
      <w:r>
        <w:t xml:space="preserve"> </w:t>
      </w:r>
      <w:r>
        <w:t xml:space="preserve">tightly — a signal-to-noise difference, not a thermal mechanism — the asymmetry</w:t>
      </w:r>
      <w:r>
        <w:t xml:space="preserve"> </w:t>
      </w:r>
      <w:r>
        <w:t xml:space="preserve">should appear for thermally neutral predictors too. Single-class studies cannot</w:t>
      </w:r>
      <w:r>
        <w:t xml:space="preserve"> </w:t>
      </w:r>
      <w:r>
        <w:t xml:space="preserve">make this contrast; a four-class design under one set of environments can.</w:t>
      </w:r>
    </w:p>
    <w:p>
      <w:pPr>
        <w:pStyle w:val="BodyText"/>
      </w:pPr>
      <w:r>
        <w:rPr>
          <w:b/>
          <w:bCs/>
        </w:rPr>
        <w:t xml:space="preserve">Gap 3 — From pattern to plan.</w:t>
      </w:r>
      <w:r>
        <w:t xml:space="preserve"> </w:t>
      </w:r>
      <w:r>
        <w:t xml:space="preserve">Systematic conservation planning rests on</w:t>
      </w:r>
      <w:r>
        <w:t xml:space="preserve"> </w:t>
      </w:r>
      <w:r>
        <w:t xml:space="preserve">complementarity (Margules &amp; Pressey 2000; Kukkala &amp; Moilanen 2013), and global</w:t>
      </w:r>
      <w:r>
        <w:t xml:space="preserve"> </w:t>
      </w:r>
      <w:r>
        <w:t xml:space="preserve">analyses show that adding phylogenetic and functional dimensions changes where</w:t>
      </w:r>
      <w:r>
        <w:t xml:space="preserve"> </w:t>
      </w:r>
      <w:r>
        <w:t xml:space="preserve">priorities fall (Brum et al. 2017; Pollock et al. 2017). The Kunming–Montreal</w:t>
      </w:r>
      <w:r>
        <w:t xml:space="preserve"> </w:t>
      </w:r>
      <w:r>
        <w:t xml:space="preserve">Global Biodiversity Framework’s Target 3 — 30% of land effectively conserved by</w:t>
      </w:r>
      <w:r>
        <w:t xml:space="preserve"> </w:t>
      </w:r>
      <w:r>
        <w:t xml:space="preserve">2030 (CBD 2022; Maxwell et al. 2020) — has made the question of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urgent</w:t>
      </w:r>
      <w:r>
        <w:t xml:space="preserve"> </w:t>
      </w:r>
      <w:r>
        <w:t xml:space="preserve">and concrete. Three strands of evidence suggest that a species-currency network</w:t>
      </w:r>
      <w:r>
        <w:t xml:space="preserve"> </w:t>
      </w:r>
      <w:r>
        <w:t xml:space="preserve">will miss functionally distinctive biota in a</w:t>
      </w:r>
      <w:r>
        <w:t xml:space="preserve"> </w:t>
      </w:r>
      <w:r>
        <w:rPr>
          <w:i/>
          <w:iCs/>
        </w:rPr>
        <w:t xml:space="preserve">predictable direction</w:t>
      </w:r>
      <w:r>
        <w:t xml:space="preserve">:</w:t>
      </w:r>
      <w:r>
        <w:t xml:space="preserve"> </w:t>
      </w:r>
      <w:r>
        <w:t xml:space="preserve">surrogacy among taxa is notoriously imperfect (Rodrigues &amp; Brooks 2007);</w:t>
      </w:r>
      <w:r>
        <w:t xml:space="preserve"> </w:t>
      </w:r>
      <w:r>
        <w:t xml:space="preserve">reptiles and amphibians, the classes with the most distinctive distributions,</w:t>
      </w:r>
      <w:r>
        <w:t xml:space="preserve"> </w:t>
      </w:r>
      <w:r>
        <w:t xml:space="preserve">are globally under-served by protected areas and by assessment effort (Roll et</w:t>
      </w:r>
      <w:r>
        <w:t xml:space="preserve"> </w:t>
      </w:r>
      <w:r>
        <w:t xml:space="preserve">al. 2017; Cox et al. 2022; Böhm et al. 2013; Stuart et al. 2004; Luedtke et al.</w:t>
      </w:r>
      <w:r>
        <w:t xml:space="preserve"> </w:t>
      </w:r>
      <w:r>
        <w:t xml:space="preserve">2023); and traits themselves predict sensitivity to land use and extinction</w:t>
      </w:r>
      <w:r>
        <w:t xml:space="preserve"> </w:t>
      </w:r>
      <w:r>
        <w:t xml:space="preserve">risk (Cardillo et al. 2005; Newbold et al. 2015; Chichorro et al. 2019; Etard &amp;</w:t>
      </w:r>
      <w:r>
        <w:t xml:space="preserve"> </w:t>
      </w:r>
      <w:r>
        <w:t xml:space="preserve">Newbold 2024). China’s protected-area system — over 2,700 nature reserves</w:t>
      </w:r>
      <w:r>
        <w:t xml:space="preserve"> </w:t>
      </w:r>
      <w:r>
        <w:t xml:space="preserve">covering roughly 15% of the land, with documented representation biases (Wu et</w:t>
      </w:r>
      <w:r>
        <w:t xml:space="preserve"> </w:t>
      </w:r>
      <w:r>
        <w:t xml:space="preserve">al. 2011; Xu et al. 2017) — is a consequential place to test this. The two</w:t>
      </w:r>
      <w:r>
        <w:t xml:space="preserve"> </w:t>
      </w:r>
      <w:r>
        <w:t xml:space="preserve">closest antecedents to the present study, which established Chinese vertebrate</w:t>
      </w:r>
      <w:r>
        <w:t xml:space="preserve"> </w:t>
      </w:r>
      <w:r>
        <w:t xml:space="preserve">trait biogeography at exactly this grain (Huang et al. 2023; Sun et al. 2025),</w:t>
      </w:r>
      <w:r>
        <w:t xml:space="preserve"> </w:t>
      </w:r>
      <w:r>
        <w:t xml:space="preserve">stop at pattern and driver: neither asks whether the reserve network leaves a</w:t>
      </w:r>
      <w:r>
        <w:t xml:space="preserve"> </w:t>
      </w:r>
      <w:r>
        <w:t xml:space="preserve">directional functional gap, nor delivers the spatial layer that would close it.</w:t>
      </w:r>
    </w:p>
    <w:p>
      <w:pPr>
        <w:pStyle w:val="BodyText"/>
      </w:pPr>
      <w:r>
        <w:t xml:space="preserve">China suits all three questions. Its environmental gradient spans tropical to</w:t>
      </w:r>
      <w:r>
        <w:t xml:space="preserve"> </w:t>
      </w:r>
      <w:r>
        <w:t xml:space="preserve">boreal and sea level to 8,000 m within one jurisdiction, so energy and water can</w:t>
      </w:r>
      <w:r>
        <w:t xml:space="preserve"> </w:t>
      </w:r>
      <w:r>
        <w:t xml:space="preserve">be statistically separated; four vertebrate classes are sympatric under sound</w:t>
      </w:r>
      <w:r>
        <w:t xml:space="preserve"> </w:t>
      </w:r>
      <w:r>
        <w:t xml:space="preserve">taxonomy, so the endotherm–ectotherm contrast can be drawn under one set of</w:t>
      </w:r>
      <w:r>
        <w:t xml:space="preserve"> </w:t>
      </w:r>
      <w:r>
        <w:t xml:space="preserve">environments; and recently published Chinese trait datasets (Song et al. 2022;</w:t>
      </w:r>
      <w:r>
        <w:t xml:space="preserve"> </w:t>
      </w:r>
      <w:r>
        <w:t xml:space="preserve">Zhong et al. 2022; Wang et al. 2023; Ding et al. 2022), combined with the</w:t>
      </w:r>
      <w:r>
        <w:t xml:space="preserve"> </w:t>
      </w:r>
      <w:r>
        <w:t xml:space="preserve">global compilations above, give ectotherms a usable trait baseline for the</w:t>
      </w:r>
      <w:r>
        <w:t xml:space="preserve"> </w:t>
      </w:r>
      <w:r>
        <w:t xml:space="preserve">first time.</w:t>
      </w:r>
    </w:p>
    <w:p>
      <w:pPr>
        <w:pStyle w:val="BodyText"/>
      </w:pPr>
      <w:r>
        <w:t xml:space="preserve">We therefore ask three questions, stating hypotheses and their refutation</w:t>
      </w:r>
      <w:r>
        <w:t xml:space="preserve"> </w:t>
      </w:r>
      <w:r>
        <w:t xml:space="preserve">conditions in advance (Supplementary Table 1).</w:t>
      </w:r>
    </w:p>
    <w:p>
      <w:pPr>
        <w:pStyle w:val="BodyText"/>
      </w:pPr>
      <w:r>
        <w:rPr>
          <w:b/>
          <w:bCs/>
        </w:rPr>
        <w:t xml:space="preserve">Q1 (Dimensions).</w:t>
      </w:r>
      <w:r>
        <w:t xml:space="preserve"> </w:t>
      </w:r>
      <w:r>
        <w:t xml:space="preserve">Is assemblage trait structure one dimension or several, and</w:t>
      </w:r>
      <w:r>
        <w:t xml:space="preserve"> </w:t>
      </w:r>
      <w:r>
        <w:t xml:space="preserve">does combining traits into composite axes help or hurt?</w:t>
      </w:r>
      <w:r>
        <w:t xml:space="preserve"> </w:t>
      </w:r>
      <w:r>
        <w:rPr>
          <w:i/>
          <w:iCs/>
        </w:rPr>
        <w:t xml:space="preserve">H1:</w:t>
      </w:r>
      <w:r>
        <w:t xml:space="preserve"> </w:t>
      </w:r>
      <w:r>
        <w:t xml:space="preserve">body size, pace of life and niche breadth are separable dimensions that</w:t>
      </w:r>
      <w:r>
        <w:t xml:space="preserve"> </w:t>
      </w:r>
      <w:r>
        <w:t xml:space="preserve">respond to different gradients.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the axes are strongly</w:t>
      </w:r>
      <w:r>
        <w:t xml:space="preserve"> </w:t>
      </w:r>
      <w:r>
        <w:t xml:space="preserve">inter-correlated, or environmental effects are identical in sign and strength</w:t>
      </w:r>
      <w:r>
        <w:t xml:space="preserve"> </w:t>
      </w:r>
      <w:r>
        <w:t xml:space="preserve">across them.</w:t>
      </w:r>
    </w:p>
    <w:p>
      <w:pPr>
        <w:pStyle w:val="BodyText"/>
      </w:pPr>
      <w:r>
        <w:rPr>
          <w:b/>
          <w:bCs/>
        </w:rPr>
        <w:t xml:space="preserve">Q2 (Drivers).</w:t>
      </w:r>
      <w:r>
        <w:t xml:space="preserve"> </w:t>
      </w:r>
      <w:r>
        <w:t xml:space="preserve">Which biodiversity hypothesis governs assemblage trait</w:t>
      </w:r>
      <w:r>
        <w:t xml:space="preserve"> </w:t>
      </w:r>
      <w:r>
        <w:t xml:space="preserve">structure, and is its strength set by thermoregulatory mode?</w:t>
      </w:r>
      <w:r>
        <w:t xml:space="preserve"> </w:t>
      </w:r>
      <w:r>
        <w:rPr>
          <w:i/>
          <w:iCs/>
        </w:rPr>
        <w:t xml:space="preserve">H2:</w:t>
      </w:r>
      <w:r>
        <w:t xml:space="preserve"> </w:t>
      </w:r>
      <w:r>
        <w:t xml:space="preserve">endothermy buffers assemblage trait composition against thermal</w:t>
      </w:r>
      <w:r>
        <w:t xml:space="preserve"> </w:t>
      </w:r>
      <w:r>
        <w:t xml:space="preserve">filtering (Fig. 1a).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ectotherms respond more strongly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predictors —</w:t>
      </w:r>
      <w:r>
        <w:t xml:space="preserve"> </w:t>
      </w:r>
      <w:r>
        <w:t xml:space="preserve">indicating a signal-to-noise difference rather than a mechanism — or if the</w:t>
      </w:r>
      <w:r>
        <w:t xml:space="preserve"> </w:t>
      </w:r>
      <w:r>
        <w:t xml:space="preserve">asymmetry disappears under a different replication unit.</w:t>
      </w:r>
    </w:p>
    <w:p>
      <w:pPr>
        <w:pStyle w:val="BodyText"/>
      </w:pPr>
      <w:r>
        <w:rPr>
          <w:b/>
          <w:bCs/>
        </w:rPr>
        <w:t xml:space="preserve">Q3 (Design).</w:t>
      </w:r>
      <w:r>
        <w:t xml:space="preserve"> </w:t>
      </w:r>
      <w:r>
        <w:t xml:space="preserve">What does trait structure require of conservation planning?</w:t>
      </w:r>
      <w:r>
        <w:t xml:space="preserve"> </w:t>
      </w:r>
      <w:r>
        <w:rPr>
          <w:i/>
          <w:iCs/>
        </w:rPr>
        <w:t xml:space="preserve">H3:</w:t>
      </w:r>
      <w:r>
        <w:t xml:space="preserve"> </w:t>
      </w:r>
      <w:r>
        <w:t xml:space="preserve">if H1 and H2 hold, a species-currency network leaves a functional gap with</w:t>
      </w:r>
      <w:r>
        <w:t xml:space="preserve"> </w:t>
      </w:r>
      <w:r>
        <w:t xml:space="preserve">a predictable direction.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axis coefficients scatter around zero, or</w:t>
      </w:r>
      <w:r>
        <w:t xml:space="preserve"> </w:t>
      </w:r>
      <w:r>
        <w:t xml:space="preserve">if significance vanishes once range size is controlled, or if different target</w:t>
      </w:r>
      <w:r>
        <w:t xml:space="preserve"> </w:t>
      </w:r>
      <w:r>
        <w:t xml:space="preserve">currencies select the same places.</w:t>
      </w:r>
    </w:p>
    <w:p>
      <w:pPr>
        <w:pStyle w:val="BodyText"/>
      </w:pPr>
      <w:r>
        <w:t xml:space="preserve">This study makes four advances. (i) It introduces</w:t>
      </w:r>
      <w:r>
        <w:t xml:space="preserve"> </w:t>
      </w:r>
      <w:r>
        <w:rPr>
          <w:i/>
          <w:iCs/>
        </w:rPr>
        <w:t xml:space="preserve">a priori</w:t>
      </w:r>
      <w:r>
        <w:t xml:space="preserve">, cross-class</w:t>
      </w:r>
      <w:r>
        <w:t xml:space="preserve"> </w:t>
      </w:r>
      <w:r>
        <w:t xml:space="preserve">functional axes for vertebrate assemblages and shows — against expectation —</w:t>
      </w:r>
      <w:r>
        <w:t xml:space="preserve"> </w:t>
      </w:r>
      <w:r>
        <w:t xml:space="preserve">that composites usually dilute rather than concentrate environmental signal.</w:t>
      </w:r>
      <w:r>
        <w:t xml:space="preserve"> </w:t>
      </w:r>
      <w:r>
        <w:t xml:space="preserve">(ii) It tests the classical richness hypotheses on trait composition with</w:t>
      </w:r>
      <w:r>
        <w:t xml:space="preserve"> </w:t>
      </w:r>
      <w:r>
        <w:t xml:space="preserve">hypothesis-labelled predictors and inference that survives the CWM problem,</w:t>
      </w:r>
      <w:r>
        <w:t xml:space="preserve"> </w:t>
      </w:r>
      <w:r>
        <w:t xml:space="preserve">quantifying the Type I inflation that naive practice incurs. (iii) It evaluates</w:t>
      </w:r>
      <w:r>
        <w:t xml:space="preserve"> </w:t>
      </w:r>
      <w:r>
        <w:t xml:space="preserve">thermal buffering against its own pre-stated falsifier, reports it as partially</w:t>
      </w:r>
      <w:r>
        <w:t xml:space="preserve"> </w:t>
      </w:r>
      <w:r>
        <w:t xml:space="preserve">supported, and replaces a failed single negative control with a stronger</w:t>
      </w:r>
      <w:r>
        <w:t xml:space="preserve"> </w:t>
      </w:r>
      <w:r>
        <w:t xml:space="preserve">dose–response test. (iv) It converts the pattern into planning: a target-based</w:t>
      </w:r>
      <w:r>
        <w:t xml:space="preserve"> </w:t>
      </w:r>
      <w:r>
        <w:t xml:space="preserve">functional prioritisation aligned with Target 3, a diagnosis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trait</w:t>
      </w:r>
      <w:r>
        <w:t xml:space="preserve"> </w:t>
      </w:r>
      <w:r>
        <w:t xml:space="preserve">ends the existing network misses, and the priority cells that close the gap.</w:t>
      </w:r>
    </w:p>
    <w:p>
      <w:r>
        <w:pict>
          <v:rect style="width:0;height:1.5pt" o:hralign="center" o:hrstd="t" o:hr="t"/>
        </w:pict>
      </w:r>
    </w:p>
    <w:bookmarkEnd w:id="10"/>
    <w:bookmarkStart w:id="25" w:name="materials-and-methods"/>
    <w:p>
      <w:pPr>
        <w:pStyle w:val="Heading2"/>
      </w:pPr>
      <w:r>
        <w:t xml:space="preserve">2. Materials and Methods</w:t>
      </w:r>
    </w:p>
    <w:bookmarkStart w:id="11" w:name="study-area-and-analysis-units"/>
    <w:p>
      <w:pPr>
        <w:pStyle w:val="Heading3"/>
      </w:pPr>
      <w:r>
        <w:t xml:space="preserve">2.1 Study area and analysis units</w:t>
      </w:r>
    </w:p>
    <w:p>
      <w:pPr>
        <w:pStyle w:val="FirstParagraph"/>
      </w:pPr>
      <w:r>
        <w:t xml:space="preserve">We used 3,782 land-intersecting cells on a 50-km grid in the China Albers</w:t>
      </w:r>
      <w:r>
        <w:t xml:space="preserve"> </w:t>
      </w:r>
      <w:r>
        <w:t xml:space="preserve">equal-area conic projection (</w:t>
      </w:r>
      <w:r>
        <w:rPr>
          <w:rStyle w:val="VerbatimChar"/>
        </w:rPr>
        <w:t xml:space="preserve">+proj=aea +lat_0=0 +lon_0=110 +lat_1=25 +lat_2=47</w:t>
      </w:r>
      <w:r>
        <w:t xml:space="preserve">), with a 957-cell 100-km grid as a grain check. Thirty-two cells</w:t>
      </w:r>
      <w:r>
        <w:t xml:space="preserve"> </w:t>
      </w:r>
      <w:r>
        <w:t xml:space="preserve">falling inside the South China Sea inset frame of the standard national basemap</w:t>
      </w:r>
      <w:r>
        <w:t xml:space="preserve"> </w:t>
      </w:r>
      <w:r>
        <w:t xml:space="preserve">were flagged and excluded from all analyses: they pair correct species lists</w:t>
      </w:r>
      <w:r>
        <w:t xml:space="preserve"> </w:t>
      </w:r>
      <w:r>
        <w:t xml:space="preserve">with open-ocean climate. Cells were flagged rather than deleted so that cell</w:t>
      </w:r>
      <w:r>
        <w:t xml:space="preserve"> </w:t>
      </w:r>
      <w:r>
        <w:t xml:space="preserve">identifiers remain stable across all derived files. All maps use the standard</w:t>
      </w:r>
      <w:r>
        <w:t xml:space="preserve"> </w:t>
      </w:r>
      <w:r>
        <w:t xml:space="preserve">national basemap, including the inset.</w:t>
      </w:r>
    </w:p>
    <w:bookmarkEnd w:id="11"/>
    <w:bookmarkStart w:id="12" w:name="X55a6c65e19c842f55f3e77505dd617541341a6d"/>
    <w:p>
      <w:pPr>
        <w:pStyle w:val="Heading3"/>
      </w:pPr>
      <w:r>
        <w:t xml:space="preserve">2.2 Species distributions and assemblage matrices</w:t>
      </w:r>
    </w:p>
    <w:p>
      <w:pPr>
        <w:pStyle w:val="FirstParagraph"/>
      </w:pPr>
      <w:r>
        <w:t xml:space="preserve">Expert range maps (IUCN 2024; BirdLife International &amp; HBW 2022) were</w:t>
      </w:r>
      <w:r>
        <w:t xml:space="preserve"> </w:t>
      </w:r>
      <w:r>
        <w:t xml:space="preserve">rasterised to the grid, giving 1,177 birds, 631 mammals, 520 reptiles and 509</w:t>
      </w:r>
      <w:r>
        <w:t xml:space="preserve"> </w:t>
      </w:r>
      <w:r>
        <w:t xml:space="preserve">amphibians in the assemblage matrix (2,837 species; Fig. 1b–f). Of these, 2,595 species</w:t>
      </w:r>
      <w:r>
        <w:t xml:space="preserve"> </w:t>
      </w:r>
      <w:r>
        <w:t xml:space="preserve">(1,086 birds, 599 mammals, 472 reptiles, 438 amphibians) have complete values</w:t>
      </w:r>
      <w:r>
        <w:t xml:space="preserve"> </w:t>
      </w:r>
      <w:r>
        <w:t xml:space="preserve">for all six core traits and therefore carry functional-axis scores; assemblage</w:t>
      </w:r>
      <w:r>
        <w:t xml:space="preserve"> </w:t>
      </w:r>
      <w:r>
        <w:t xml:space="preserve">moments are computed from this subset, and the two counts are kept distinct</w:t>
      </w:r>
      <w:r>
        <w:t xml:space="preserve"> </w:t>
      </w:r>
      <w:r>
        <w:t xml:space="preserve">throughout. Scientific names were harmonised across trait and range sources by</w:t>
      </w:r>
      <w:r>
        <w:t xml:space="preserve"> </w:t>
      </w:r>
      <w:r>
        <w:t xml:space="preserve">a normalisation routine (trimming, capitalisation, subspecies removal) followed</w:t>
      </w:r>
      <w:r>
        <w:t xml:space="preserve"> </w:t>
      </w:r>
      <w:r>
        <w:t xml:space="preserve">by synonym matching; unmatched names are listed in Supplementary Tables 2–3.</w:t>
      </w:r>
    </w:p>
    <w:p>
      <w:pPr>
        <w:pStyle w:val="BodyText"/>
      </w:pPr>
      <w:r>
        <w:t xml:space="preserve">Assemblage moments entering the driver models and trait maps were restricted to</w:t>
      </w:r>
      <w:r>
        <w:t xml:space="preserve"> </w:t>
      </w:r>
      <w:r>
        <w:t xml:space="preserve">cells holding ≥5 species of a class; functional-dispersion metrics, which need</w:t>
      </w:r>
      <w:r>
        <w:t xml:space="preserve"> </w:t>
      </w:r>
      <w:r>
        <w:t xml:space="preserve">only two, were computed wherever a class had at least two species.</w:t>
      </w:r>
      <w:r>
        <w:t xml:space="preserve"> </w:t>
      </w:r>
      <w:r>
        <w:t xml:space="preserve">The resulting blanks — most visibly for amphibians in arid north-west China,</w:t>
      </w:r>
      <w:r>
        <w:t xml:space="preserve"> </w:t>
      </w:r>
      <w:r>
        <w:t xml:space="preserve">where only 2.6% of far-western cells reach five species — are estimability</w:t>
      </w:r>
      <w:r>
        <w:t xml:space="preserve"> </w:t>
      </w:r>
      <w:r>
        <w:t xml:space="preserve">limits, not absences. Range maps overstate local occupancy (Hurlbert-type</w:t>
      </w:r>
      <w:r>
        <w:t xml:space="preserve"> </w:t>
      </w:r>
      <w:r>
        <w:t xml:space="preserve">commission error); we use them because they are the basis on which the</w:t>
      </w:r>
      <w:r>
        <w:t xml:space="preserve"> </w:t>
      </w:r>
      <w:r>
        <w:t xml:space="preserve">antecedent studies are comparable, and we validate the main conclusions against</w:t>
      </w:r>
      <w:r>
        <w:t xml:space="preserve"> </w:t>
      </w:r>
      <w:r>
        <w:t xml:space="preserve">assemblages rebuilt from GBIF occurrence records (Extended Data Figs 2–3),</w:t>
      </w:r>
      <w:r>
        <w:t xml:space="preserve"> </w:t>
      </w:r>
      <w:r>
        <w:t xml:space="preserve">where conclusions hold in direction.</w:t>
      </w:r>
    </w:p>
    <w:bookmarkEnd w:id="12"/>
    <w:bookmarkStart w:id="13" w:name="X0b34d7077952a05fabf4da100e189fbc3b62d48"/>
    <w:p>
      <w:pPr>
        <w:pStyle w:val="Heading3"/>
      </w:pPr>
      <w:r>
        <w:t xml:space="preserve">2.3 Trait compilation: one size measure per class</w:t>
      </w:r>
    </w:p>
    <w:p>
      <w:pPr>
        <w:pStyle w:val="FirstParagraph"/>
      </w:pPr>
      <w:r>
        <w:t xml:space="preserve">Six core traits entered the analysis: body size, fecundity, nocturnality,</w:t>
      </w:r>
      <w:r>
        <w:t xml:space="preserve"> </w:t>
      </w:r>
      <w:r>
        <w:t xml:space="preserve">vertical stratum use (0 = fossorial to 1 = aerial), habitat breadth and range</w:t>
      </w:r>
      <w:r>
        <w:t xml:space="preserve"> </w:t>
      </w:r>
      <w:r>
        <w:t xml:space="preserve">size, assembled on the phylogeny-informed TetrapodTraits backbone (Moura et al.</w:t>
      </w:r>
      <w:r>
        <w:t xml:space="preserve"> </w:t>
      </w:r>
      <w:r>
        <w:t xml:space="preserve">2024) and overridden wherever a measured value exists in a specialist source:</w:t>
      </w:r>
      <w:r>
        <w:t xml:space="preserve"> </w:t>
      </w:r>
      <w:r>
        <w:t xml:space="preserve">AVONET for birds (Tobias et al. 2022), COMBINE and a national mammal dataset</w:t>
      </w:r>
      <w:r>
        <w:t xml:space="preserve"> </w:t>
      </w:r>
      <w:r>
        <w:t xml:space="preserve">for mammals (Soria et al. 2021; Ding et al. 2022), ReptTraits plus national</w:t>
      </w:r>
      <w:r>
        <w:t xml:space="preserve"> </w:t>
      </w:r>
      <w:r>
        <w:t xml:space="preserve">snake and lizard datasets for reptiles (Oskyrko et al. 2024; Wang et al. 2023;</w:t>
      </w:r>
      <w:r>
        <w:t xml:space="preserve"> </w:t>
      </w:r>
      <w:r>
        <w:t xml:space="preserve">Zhong et al. 2022), and AmphiBIO plus a national amphibian dataset for</w:t>
      </w:r>
      <w:r>
        <w:t xml:space="preserve"> </w:t>
      </w:r>
      <w:r>
        <w:t xml:space="preserve">amphibians (Oliveira et al. 2017; Song et al. 2022).</w:t>
      </w:r>
    </w:p>
    <w:p>
      <w:pPr>
        <w:pStyle w:val="BodyText"/>
      </w:pPr>
      <w:r>
        <w:t xml:space="preserve">We used</w:t>
      </w:r>
      <w:r>
        <w:t xml:space="preserve"> </w:t>
      </w:r>
      <w:r>
        <w:rPr>
          <w:b/>
          <w:bCs/>
        </w:rPr>
        <w:t xml:space="preserve">one size measure per class</w:t>
      </w:r>
      <w:r>
        <w:t xml:space="preserve"> </w:t>
      </w:r>
      <w:r>
        <w:t xml:space="preserve">— body length for amphibians, body mass</w:t>
      </w:r>
      <w:r>
        <w:t xml:space="preserve"> </w:t>
      </w:r>
      <w:r>
        <w:t xml:space="preserve">for birds, mammals and reptiles — because mixing mass and length makes</w:t>
      </w:r>
      <w:r>
        <w:t xml:space="preserve"> </w:t>
      </w:r>
      <w:r>
        <w:t xml:space="preserve">“size”</w:t>
      </w:r>
      <w:r>
        <w:t xml:space="preserve"> </w:t>
      </w:r>
      <w:r>
        <w:t xml:space="preserve">a different</w:t>
      </w:r>
      <w:r>
        <w:t xml:space="preserve"> </w:t>
      </w:r>
      <w:r>
        <w:t xml:space="preserve">quantity in different classes and invalidates cross-class comparison. This</w:t>
      </w:r>
      <w:r>
        <w:t xml:space="preserve"> </w:t>
      </w:r>
      <w:r>
        <w:t xml:space="preserve">choice also removes a large imputation artefact: amphibian body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in the</w:t>
      </w:r>
      <w:r>
        <w:t xml:space="preserve"> </w:t>
      </w:r>
      <w:r>
        <w:t xml:space="preserve">global backbone is 74.7% allometrically inferred, whereas amphibian body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w:r>
        <w:t xml:space="preserve">is 0.7% imputed. Reptile body mass, by contrast, is only 0.2% inferred</w:t>
      </w:r>
      <w:r>
        <w:t xml:space="preserve"> </w:t>
      </w:r>
      <w:r>
        <w:t xml:space="preserve">(Extended Data Fig. 4), so mass is retained there. Observed coverage is 100% for size, nocturnality,</w:t>
      </w:r>
      <w:r>
        <w:t xml:space="preserve"> </w:t>
      </w:r>
      <w:r>
        <w:t xml:space="preserve">vertical stratum use, habitat breadth and range size in all four classes.</w:t>
      </w:r>
    </w:p>
    <w:p>
      <w:pPr>
        <w:pStyle w:val="BodyText"/>
      </w:pPr>
      <w:r>
        <w:t xml:space="preserve">Life-history coverage was audited before use (Supplementary Table 4).</w:t>
      </w:r>
      <w:r>
        <w:t xml:space="preserve"> </w:t>
      </w:r>
      <w:r>
        <w:t xml:space="preserve">Generation length exists essentially only for endotherms (birds 80.8%, mammals</w:t>
      </w:r>
      <w:r>
        <w:t xml:space="preserve"> </w:t>
      </w:r>
      <w:r>
        <w:t xml:space="preserve">92.2%; both ectotherm classes 0%). Age at maturity is observed for 7.1% of</w:t>
      </w:r>
      <w:r>
        <w:t xml:space="preserve"> </w:t>
      </w:r>
      <w:r>
        <w:t xml:space="preserve">amphibians and for no reptile in the dataset; longevity for 23.5% of reptiles</w:t>
      </w:r>
      <w:r>
        <w:t xml:space="preserve"> </w:t>
      </w:r>
      <w:r>
        <w:t xml:space="preserve">and 8.4% of amphibians.</w:t>
      </w:r>
      <w:r>
        <w:t xml:space="preserve"> </w:t>
      </w:r>
      <w:r>
        <w:rPr>
          <w:b/>
          <w:bCs/>
        </w:rPr>
        <w:t xml:space="preserve">Fecundity is the only fast–slow component usable across</w:t>
      </w:r>
      <w:r>
        <w:rPr>
          <w:b/>
          <w:bCs/>
        </w:rPr>
        <w:t xml:space="preserve"> </w:t>
      </w:r>
      <w:r>
        <w:rPr>
          <w:b/>
          <w:bCs/>
        </w:rPr>
        <w:t xml:space="preserve">all four classes</w:t>
      </w:r>
      <w:r>
        <w:t xml:space="preserve"> </w:t>
      </w:r>
      <w:r>
        <w:t xml:space="preserve">(reptiles 66.9%, amphibians 60.0%, birds and mammals 100%).</w:t>
      </w:r>
      <w:r>
        <w:t xml:space="preserve"> </w:t>
      </w:r>
      <w:r>
        <w:t xml:space="preserve">Sex-specific lengths in the Chinese amphibian compilation are mostly written</w:t>
      </w:r>
      <w:r>
        <w:t xml:space="preserve"> </w:t>
      </w:r>
      <w:r>
        <w:t xml:space="preserve">as ranges (</w:t>
      </w:r>
      <w:r>
        <w:t xml:space="preserve">“350.0-417.0”</w:t>
      </w:r>
      <w:r>
        <w:t xml:space="preserve">). Parsing them to interval midpoints rather than</w:t>
      </w:r>
      <w:r>
        <w:t xml:space="preserve"> </w:t>
      </w:r>
      <w:r>
        <w:t xml:space="preserve">coercing them directly raised usable male–female pairs from 75 to 472 species;</w:t>
      </w:r>
      <w:r>
        <w:t xml:space="preserve"> </w:t>
      </w:r>
      <w:r>
        <w:t xml:space="preserve">stripping non-numeric characters instead, as is often done, would have</w:t>
      </w:r>
      <w:r>
        <w:t xml:space="preserve"> </w:t>
      </w:r>
      <w:r>
        <w:t xml:space="preserve">concatenated</w:t>
      </w:r>
      <w:r>
        <w:t xml:space="preserve"> </w:t>
      </w:r>
      <w:r>
        <w:t xml:space="preserve">“145-191”</w:t>
      </w:r>
      <w:r>
        <w:t xml:space="preserve"> </w:t>
      </w:r>
      <w:r>
        <w:t xml:space="preserve">into 145191 mm. The resulting sexual-size-dimorphism</w:t>
      </w:r>
      <w:r>
        <w:t xml:space="preserve"> </w:t>
      </w:r>
      <w:r>
        <w:t xml:space="preserve">geography is reported in Extended Data Fig. 5.</w:t>
      </w:r>
    </w:p>
    <w:bookmarkEnd w:id="13"/>
    <w:bookmarkStart w:id="14" w:name="imputation-and-its-limits"/>
    <w:p>
      <w:pPr>
        <w:pStyle w:val="Heading3"/>
      </w:pPr>
      <w:r>
        <w:t xml:space="preserve">2.4 Imputation and its limits</w:t>
      </w:r>
    </w:p>
    <w:p>
      <w:pPr>
        <w:pStyle w:val="FirstParagraph"/>
      </w:pPr>
      <w:r>
        <w:t xml:space="preserve">Remaining gaps were imputed with missForest (Stekhoven &amp; Bühlmann 2012), a</w:t>
      </w:r>
      <w:r>
        <w:t xml:space="preserve"> </w:t>
      </w:r>
      <w:r>
        <w:t xml:space="preserve">random-forest approach that performs well on ecological trait data (Penone et</w:t>
      </w:r>
      <w:r>
        <w:t xml:space="preserve"> </w:t>
      </w:r>
      <w:r>
        <w:t xml:space="preserve">al. 2014), using the ten leading phylogenetic eigenvectors and the other traits</w:t>
      </w:r>
      <w:r>
        <w:t xml:space="preserve"> </w:t>
      </w:r>
      <w:r>
        <w:t xml:space="preserve">as predictors, per class (out-of-bag NRMSE: birds 0.033, mammals 0.058,</w:t>
      </w:r>
      <w:r>
        <w:t xml:space="preserve"> </w:t>
      </w:r>
      <w:r>
        <w:t xml:space="preserve">amphibians 0.270, reptiles 0.413). Imputed entries are flagged; traits below</w:t>
      </w:r>
      <w:r>
        <w:t xml:space="preserve"> </w:t>
      </w:r>
      <w:r>
        <w:t xml:space="preserve">30% observed are reported but excluded from core analyses by default, because</w:t>
      </w:r>
      <w:r>
        <w:t xml:space="preserve"> </w:t>
      </w:r>
      <w:r>
        <w:t xml:space="preserve">after imputation more than two-thirds of their values would be model prediction</w:t>
      </w:r>
      <w:r>
        <w:t xml:space="preserve"> </w:t>
      </w:r>
      <w:r>
        <w:t xml:space="preserve">rather than measurement. Cross-validation against independent global values</w:t>
      </w:r>
      <w:r>
        <w:t xml:space="preserve"> </w:t>
      </w:r>
      <w:r>
        <w:t xml:space="preserve">gave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0.96–0.99 for body size.</w:t>
      </w:r>
    </w:p>
    <w:bookmarkEnd w:id="14"/>
    <w:bookmarkStart w:id="15" w:name="three-a-priori-functional-axes"/>
    <w:p>
      <w:pPr>
        <w:pStyle w:val="Heading3"/>
      </w:pPr>
      <w:r>
        <w:t xml:space="preserve">2.5 Three a priori functional axes</w:t>
      </w:r>
    </w:p>
    <w:p>
      <w:pPr>
        <w:pStyle w:val="FirstParagraph"/>
      </w:pPr>
      <w:r>
        <w:t xml:space="preserve">Axes were defined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so each denotes the same quantity in every 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body size (one measure per class)</w:t>
            </w:r>
          </w:p>
        </w:tc>
        <w:tc>
          <w:tcPr/>
          <w:p>
            <w:pPr>
              <w:pStyle w:val="Compact"/>
            </w:pPr>
            <w:r>
              <w:t xml:space="preserve">body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PACE</w:t>
            </w:r>
          </w:p>
        </w:tc>
        <w:tc>
          <w:tcPr/>
          <w:p>
            <w:pPr>
              <w:pStyle w:val="Compact"/>
            </w:pPr>
            <w:r>
              <w:t xml:space="preserve">−residual(fecundity ~ size)</w:t>
            </w:r>
          </w:p>
        </w:tc>
        <w:tc>
          <w:tcPr/>
          <w:p>
            <w:pPr>
              <w:pStyle w:val="Compact"/>
            </w:pPr>
            <w:r>
              <w:t xml:space="preserve">fewer or more offspring than size predicts (slow → fast)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NICHE</w:t>
            </w:r>
          </w:p>
        </w:tc>
        <w:tc>
          <w:tcPr/>
          <w:p>
            <w:pPr>
              <w:pStyle w:val="Compact"/>
            </w:pPr>
            <w:r>
              <w:t xml:space="preserve">habitat breadth (+) and range size (+), z-mean</w:t>
            </w:r>
          </w:p>
        </w:tc>
        <w:tc>
          <w:tcPr/>
          <w:p>
            <w:pPr>
              <w:pStyle w:val="Compact"/>
            </w:pPr>
            <w:r>
              <w:t xml:space="preserve">niche breadth, narrow → broad</w:t>
            </w:r>
          </w:p>
        </w:tc>
      </w:tr>
    </w:tbl>
    <w:p>
      <w:pPr>
        <w:pStyle w:val="BodyText"/>
      </w:pPr>
      <w:r>
        <w:t xml:space="preserve">SIZE and PACE follow the two dominant dimensions of vertebrate life-history</w:t>
      </w:r>
      <w:r>
        <w:t xml:space="preserve"> </w:t>
      </w:r>
      <w:r>
        <w:t xml:space="preserve">variation (Stearns 1992; Promislow &amp; Harvey 1990; Bielby et al. 2007; Healy et</w:t>
      </w:r>
      <w:r>
        <w:t xml:space="preserve"> </w:t>
      </w:r>
      <w:r>
        <w:t xml:space="preserve">al. 2019); the fast–slow continuum structures strategy variation across the</w:t>
      </w:r>
      <w:r>
        <w:t xml:space="preserve"> </w:t>
      </w:r>
      <w:r>
        <w:t xml:space="preserve">tree of life (Salguero-Gómez et al. 2016). PACE uses 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“size minus fecundity”</w:t>
      </w:r>
      <w:r>
        <w:t xml:space="preserve">: the latter embeds size in PACE and correlated the</w:t>
      </w:r>
      <w:r>
        <w:t xml:space="preserve"> </w:t>
      </w:r>
      <w:r>
        <w:t xml:space="preserve">two axes at 0.38–0.73, making a body-size effect inseparable from a</w:t>
      </w:r>
      <w:r>
        <w:t xml:space="preserve"> </w:t>
      </w:r>
      <w:r>
        <w:t xml:space="preserve">pace-of-life effect, whereas the residual is orthogonal to SIZE by</w:t>
      </w:r>
      <w:r>
        <w:t xml:space="preserve"> </w:t>
      </w:r>
      <w:r>
        <w:t xml:space="preserve">construction. NICHE combines habitat breadth with range size, exploiting their</w:t>
      </w:r>
      <w:r>
        <w:t xml:space="preserve"> </w:t>
      </w:r>
      <w:r>
        <w:t xml:space="preserve">general association (Slatyer et al. 2013); its geographic behaviour connects to</w:t>
      </w:r>
      <w:r>
        <w:t xml:space="preserve"> </w:t>
      </w:r>
      <w:r>
        <w:t xml:space="preserve">classical range-size gradients (Stevens 1989). Nocturnality and vertical</w:t>
      </w:r>
      <w:r>
        <w:t xml:space="preserve"> </w:t>
      </w:r>
      <w:r>
        <w:t xml:space="preserve">stratum use were kept as single traits — they are not homologous components of</w:t>
      </w:r>
      <w:r>
        <w:t xml:space="preserve"> </w:t>
      </w:r>
      <w:r>
        <w:t xml:space="preserve">any of the three axes. Traits were z-standardised within class before axis</w:t>
      </w:r>
      <w:r>
        <w:t xml:space="preserve"> </w:t>
      </w:r>
      <w:r>
        <w:t xml:space="preserve">construction, and the data-driven PCA is retained as a check (Extended Data Fig. 1).</w:t>
      </w:r>
    </w:p>
    <w:bookmarkEnd w:id="15"/>
    <w:bookmarkStart w:id="16" w:name="X07a73f0d79d12c6683d2dc341c6c13cefc08ce0"/>
    <w:p>
      <w:pPr>
        <w:pStyle w:val="Heading3"/>
      </w:pPr>
      <w:r>
        <w:t xml:space="preserve">2.6 Environmental predictors and hypothesis mapping</w:t>
      </w:r>
    </w:p>
    <w:p>
      <w:pPr>
        <w:pStyle w:val="FirstParagraph"/>
      </w:pPr>
      <w:r>
        <w:t xml:space="preserve">Six named predictors, one per hypothesis: mean annual temperature (bio1;</w:t>
      </w:r>
      <w:r>
        <w:t xml:space="preserve"> </w:t>
      </w:r>
      <w:r>
        <w:t xml:space="preserve">ambient energy), annual precipitation (bio12; water availability), net primary</w:t>
      </w:r>
      <w:r>
        <w:t xml:space="preserve"> </w:t>
      </w:r>
      <w:r>
        <w:t xml:space="preserve">productivity (productivity), within-cell elevation range (habitat</w:t>
      </w:r>
      <w:r>
        <w:t xml:space="preserve"> </w:t>
      </w:r>
      <w:r>
        <w:t xml:space="preserve">heterogeneity), temperature seasonality (bio4; climatic seasonality) and the</w:t>
      </w:r>
      <w:r>
        <w:t xml:space="preserve"> </w:t>
      </w:r>
      <w:r>
        <w:t xml:space="preserve">2020 human footprint (anthropogenic filter). Climate and elevation come from</w:t>
      </w:r>
      <w:r>
        <w:t xml:space="preserve"> </w:t>
      </w:r>
      <w:r>
        <w:t xml:space="preserve">WorldClim 2.1 (Fick &amp; Hijmans 2017), NPP from MODIS MOD17A3, land cover from</w:t>
      </w:r>
      <w:r>
        <w:t xml:space="preserve"> </w:t>
      </w:r>
      <w:r>
        <w:t xml:space="preserve">ESA WorldCover, habitat texture from EarthEnv (Tuanmu &amp; Jetz 2015), and the</w:t>
      </w:r>
      <w:r>
        <w:t xml:space="preserve"> </w:t>
      </w:r>
      <w:r>
        <w:t xml:space="preserve">human footprint from the 2000–2020 annual series (Mu et al. 2022; lineage</w:t>
      </w:r>
      <w:r>
        <w:t xml:space="preserve"> </w:t>
      </w:r>
      <w:r>
        <w:t xml:space="preserve">Venter et al. 2016). We deliberately use named variables rather than composite</w:t>
      </w:r>
      <w:r>
        <w:t xml:space="preserve"> </w:t>
      </w:r>
      <w:r>
        <w:t xml:space="preserve">components, so each coefficient reads directly as support for one hypothesis;</w:t>
      </w:r>
      <w:r>
        <w:t xml:space="preserve"> </w:t>
      </w:r>
      <w:r>
        <w:t xml:space="preserve">all six enter every model together, making each coefficient that hypothesis’s</w:t>
      </w:r>
      <w:r>
        <w:t xml:space="preserve"> </w:t>
      </w:r>
      <w:r>
        <w:t xml:space="preserve">unique effect after the others are controlled (VIF ≤ 5.4; Supplementary Table 5).</w:t>
      </w:r>
    </w:p>
    <w:bookmarkEnd w:id="16"/>
    <w:bookmarkStart w:id="17" w:name="assemblage-metrics-and-null-models"/>
    <w:p>
      <w:pPr>
        <w:pStyle w:val="Heading3"/>
      </w:pPr>
      <w:r>
        <w:t xml:space="preserve">2.7 Assemblage metrics and null models</w:t>
      </w:r>
    </w:p>
    <w:p>
      <w:pPr>
        <w:pStyle w:val="FirstParagraph"/>
      </w:pPr>
      <w:r>
        <w:t xml:space="preserve">For each cell × class we computed community-weighted moments (mean, variance,</w:t>
      </w:r>
      <w:r>
        <w:t xml:space="preserve"> </w:t>
      </w:r>
      <w:r>
        <w:t xml:space="preserve">skewness, kurtosis) of each trait and axis, and functional diversity as</w:t>
      </w:r>
      <w:r>
        <w:t xml:space="preserve"> </w:t>
      </w:r>
      <w:r>
        <w:t xml:space="preserve">functional richness, evenness, divergence, dispersion and Rao’s quadratic</w:t>
      </w:r>
      <w:r>
        <w:t xml:space="preserve"> </w:t>
      </w:r>
      <w:r>
        <w:t xml:space="preserve">entropy (Mason et al. 2005; Villéger et al. 2008; Laliberté &amp; Legendre 2010;</w:t>
      </w:r>
      <w:r>
        <w:t xml:space="preserve"> </w:t>
      </w:r>
      <w:r>
        <w:t xml:space="preserve">Botta-Dukát 2005) on Gower distances (the class trait spaces are shown in Extended Data Fig. 6). Standardised effect sizes used 999</w:t>
      </w:r>
      <w:r>
        <w:t xml:space="preserve"> </w:t>
      </w:r>
      <w:r>
        <w:t xml:space="preserve">draws from an</w:t>
      </w:r>
      <w:r>
        <w:t xml:space="preserve"> </w:t>
      </w:r>
      <w:r>
        <w:rPr>
          <w:b/>
          <w:bCs/>
        </w:rPr>
        <w:t xml:space="preserve">occupancy-weighted</w:t>
      </w:r>
      <w:r>
        <w:t xml:space="preserve"> </w:t>
      </w:r>
      <w:r>
        <w:t xml:space="preserve">null model: species are drawn with</w:t>
      </w:r>
      <w:r>
        <w:t xml:space="preserve"> </w:t>
      </w:r>
      <w:r>
        <w:t xml:space="preserve">probability proportional to their observed occupancy, holding richness fixed</w:t>
      </w:r>
      <w:r>
        <w:t xml:space="preserve"> </w:t>
      </w:r>
      <w:r>
        <w:t xml:space="preserve">(cf. Gotelli 2000). The conventional equiprobable null treats narrow endemics</w:t>
      </w:r>
      <w:r>
        <w:t xml:space="preserve"> </w:t>
      </w:r>
      <w:r>
        <w:t xml:space="preserve">and widespread species as exchangeable and thereby manufactures apparent trait</w:t>
      </w:r>
      <w:r>
        <w:t xml:space="preserve"> </w:t>
      </w:r>
      <w:r>
        <w:t xml:space="preserve">clustering in endemic-rich taxa; switching to occupancy weighting moved</w:t>
      </w:r>
      <w:r>
        <w:t xml:space="preserve"> </w:t>
      </w:r>
      <w:r>
        <w:t xml:space="preserve">amphibian SES from +1.70 to +0.08 and eliminated a spurious over-dispersion</w:t>
      </w:r>
      <w:r>
        <w:t xml:space="preserve"> </w:t>
      </w:r>
      <w:r>
        <w:t xml:space="preserve">signal (Extended Data Fig. 7). The resulting standardised effects are mapped in</w:t>
      </w:r>
      <w:r>
        <w:t xml:space="preserve"> </w:t>
      </w:r>
      <w:r>
        <w:t xml:space="preserve">Extended Data Fig. 8, and the geography of assemblage trait variance in Extended Data Fig. 9. The equiprobable null is retained as a</w:t>
      </w:r>
      <w:r>
        <w:t xml:space="preserve"> </w:t>
      </w:r>
      <w:r>
        <w:t xml:space="preserve">sensitivity analysis. Functional β-diversity was decomposed into turnover and</w:t>
      </w:r>
      <w:r>
        <w:t xml:space="preserve"> </w:t>
      </w:r>
      <w:r>
        <w:t xml:space="preserve">nestedness (Baselga 2010; Villéger et al. 2013).</w:t>
      </w:r>
    </w:p>
    <w:bookmarkEnd w:id="17"/>
    <w:bookmarkStart w:id="18" w:name="driver-models"/>
    <w:p>
      <w:pPr>
        <w:pStyle w:val="Heading3"/>
      </w:pPr>
      <w:r>
        <w:t xml:space="preserve">2.8 Driver models</w:t>
      </w:r>
    </w:p>
    <w:p>
      <w:pPr>
        <w:pStyle w:val="FirstParagraph"/>
      </w:pPr>
      <w:r>
        <w:t xml:space="preserve">Responses are assemblage means of each of the six traits and each of the three</w:t>
      </w:r>
      <w:r>
        <w:t xml:space="preserve"> </w:t>
      </w:r>
      <w:r>
        <w:t xml:space="preserve">axes, per class: 36 models. Because assemblage data are strongly spatially</w:t>
      </w:r>
      <w:r>
        <w:t xml:space="preserve"> </w:t>
      </w:r>
      <w:r>
        <w:t xml:space="preserve">autocorrelated (Legendre 1993) and OLS residual 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was 0.65–0.89 across the 36 main models (Extended Data Fig. 10; Supplementary Table 6), we</w:t>
      </w:r>
      <w:r>
        <w:t xml:space="preserve"> </w:t>
      </w:r>
      <w:r>
        <w:t xml:space="preserve">used simultaneous autoregressive error models (Dormann et al. 2007; Kissling &amp;</w:t>
      </w:r>
      <w:r>
        <w:t xml:space="preserve"> </w:t>
      </w:r>
      <w:r>
        <w:t xml:space="preserve">Carl 2008) with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8 symmetrised nearest neighbours and row-standardised</w:t>
      </w:r>
      <w:r>
        <w:t xml:space="preserve"> </w:t>
      </w:r>
      <w:r>
        <w:t xml:space="preserve">weights; SAR reduces residual 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to between −0.055 and 0.016 across</w:t>
      </w:r>
      <w:r>
        <w:t xml:space="preserve"> </w:t>
      </w:r>
      <w:r>
        <w:t xml:space="preserve">all models (λ = 0.935–0.994). The sparse Cholesky (</w:t>
      </w:r>
      <w:r>
        <w:t xml:space="preserve">“Matrix”</w:t>
      </w:r>
      <w:r>
        <w:t xml:space="preserve">) estimator was used</w:t>
      </w:r>
      <w:r>
        <w:t xml:space="preserve"> </w:t>
      </w:r>
      <w:r>
        <w:t xml:space="preserve">because eigendecomposition is O(</w:t>
      </w:r>
      <w:r>
        <w:rPr>
          <w:i/>
          <w:iCs/>
        </w:rPr>
        <w:t xml:space="preserve">n</w:t>
      </w:r>
      <w:r>
        <w:t xml:space="preserve">³) at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≈ 3,700; we verified it against</w:t>
      </w:r>
      <w:r>
        <w:t xml:space="preserve"> </w:t>
      </w:r>
      <w:r>
        <w:t xml:space="preserve">the exact eigen solution on the smallest class, where coefficients agree to</w:t>
      </w:r>
      <w:r>
        <w:t xml:space="preserve"> </w:t>
      </w:r>
      <w:r>
        <w:t xml:space="preserve">8 × 10⁻¹⁰ and log-likelihoods to 3 × 10⁻¹². Variance was partitioned among</w:t>
      </w:r>
      <w:r>
        <w:t xml:space="preserve"> </w:t>
      </w:r>
      <w:r>
        <w:t xml:space="preserve">three hypothesis blocks (climate, habitat, human) with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². The same</w:t>
      </w:r>
      <w:r>
        <w:t xml:space="preserve"> </w:t>
      </w:r>
      <w:r>
        <w:t xml:space="preserve">models fitted to all four moments of every trait give the full effect matrix in</w:t>
      </w:r>
      <w:r>
        <w:t xml:space="preserve"> </w:t>
      </w:r>
      <w:r>
        <w:t xml:space="preserve">Extended Data Fig. 11.</w:t>
      </w:r>
    </w:p>
    <w:bookmarkEnd w:id="18"/>
    <w:bookmarkStart w:id="19" w:name="Xe9c4bf189a7a737499011e5fcbd6b5c4b6c1f47"/>
    <w:p>
      <w:pPr>
        <w:pStyle w:val="Heading3"/>
      </w:pPr>
      <w:r>
        <w:t xml:space="preserve">2.9 Valid significance: the fourth-corner max test</w:t>
      </w:r>
    </w:p>
    <w:p>
      <w:pPr>
        <w:pStyle w:val="FirstParagraph"/>
      </w:pPr>
      <w:r>
        <w:t xml:space="preserve">Every trait–environment link was re-tested with the fourth-corner max test</w:t>
      </w:r>
      <w:r>
        <w:t xml:space="preserve"> </w:t>
      </w:r>
      <w:r>
        <w:t xml:space="preserve">(Dray &amp; Legendre 2008; ter Braak et al. 2012; Peres-Neto et al. 2017):</w:t>
      </w:r>
      <w:r>
        <w:t xml:space="preserve"> </w:t>
      </w:r>
      <w:r>
        <w:rPr>
          <w:rStyle w:val="VerbatimChar"/>
        </w:rPr>
        <w:t xml:space="preserve">modeltype = 6</w:t>
      </w:r>
      <w:r>
        <w:t xml:space="preserve">, 999 permutations, on a spatially stratified subsample of 1,200</w:t>
      </w:r>
      <w:r>
        <w:t xml:space="preserve"> </w:t>
      </w:r>
      <w:r>
        <w:t xml:space="preserve">cells, taking the larger of the site-permutation and species-permutation</w:t>
      </w:r>
      <w:r>
        <w:t xml:space="preserve"> </w:t>
      </w:r>
      <w:r>
        <w:rPr>
          <w:i/>
          <w:iCs/>
        </w:rPr>
        <w:t xml:space="preserve">P</w:t>
      </w:r>
      <w:r>
        <w:t xml:space="preserve">-values, with Benjamini–Hochberg correction. SAR supplies effect size and</w:t>
      </w:r>
      <w:r>
        <w:t xml:space="preserve"> </w:t>
      </w:r>
      <w:r>
        <w:t xml:space="preserve">direction; the max test supplies significance. Naive CWM regressions were run</w:t>
      </w:r>
      <w:r>
        <w:t xml:space="preserve"> </w:t>
      </w:r>
      <w:r>
        <w:t xml:space="preserve">on the identical matrices to quantify their Type I inflation (Zelený 2018;</w:t>
      </w:r>
      <w:r>
        <w:t xml:space="preserve"> </w:t>
      </w:r>
      <w:r>
        <w:t xml:space="preserve">Extended Data Fig. 12).</w:t>
      </w:r>
    </w:p>
    <w:bookmarkEnd w:id="19"/>
    <w:bookmarkStart w:id="20" w:name="the-thermal-contrast-and-its-robustness"/>
    <w:p>
      <w:pPr>
        <w:pStyle w:val="Heading3"/>
      </w:pPr>
      <w:r>
        <w:t xml:space="preserve">2.10 The thermal contrast and its robustness</w:t>
      </w:r>
    </w:p>
    <w:p>
      <w:pPr>
        <w:pStyle w:val="FirstParagraph"/>
      </w:pPr>
      <w:r>
        <w:rPr>
          <w:b/>
          <w:bCs/>
        </w:rPr>
        <w:t xml:space="preserve">Grid-cell contrast.</w:t>
      </w:r>
      <w:r>
        <w:t xml:space="preserve"> </w:t>
      </w:r>
      <w:r>
        <w:t xml:space="preserve">The ectotherm/endotherm ratio of mean |β| was computed</w:t>
      </w:r>
      <w:r>
        <w:t xml:space="preserve"> </w:t>
      </w:r>
      <w:r>
        <w:t xml:space="preserve">per predictor, with 95% bootstrap CIs over class × response fits (2,000</w:t>
      </w:r>
      <w:r>
        <w:t xml:space="preserve"> </w:t>
      </w:r>
      <w:r>
        <w:t xml:space="preserve">resamples), and the difference of log-ratios between predictors tested by joint</w:t>
      </w:r>
      <w:r>
        <w:t xml:space="preserve"> </w:t>
      </w:r>
      <w:r>
        <w:t xml:space="preserve">bootstrap.</w:t>
      </w:r>
    </w:p>
    <w:p>
      <w:pPr>
        <w:pStyle w:val="BodyText"/>
      </w:pPr>
      <w:r>
        <w:rPr>
          <w:b/>
          <w:bCs/>
        </w:rPr>
        <w:t xml:space="preserve">Heterogeneity operationalisations.</w:t>
      </w:r>
      <w:r>
        <w:t xml:space="preserve"> </w:t>
      </w:r>
      <w:r>
        <w:t xml:space="preserve">Because</w:t>
      </w:r>
      <w:r>
        <w:t xml:space="preserve"> </w:t>
      </w:r>
      <w:r>
        <w:t xml:space="preserve">“habitat heterogeneity”</w:t>
      </w:r>
      <w:r>
        <w:t xml:space="preserve"> </w:t>
      </w:r>
      <w:r>
        <w:t xml:space="preserve">is not</w:t>
      </w:r>
      <w:r>
        <w:t xml:space="preserve"> </w:t>
      </w:r>
      <w:r>
        <w:t xml:space="preserve">one variable, the negative control was repeated with three proxies:</w:t>
      </w:r>
      <w:r>
        <w:t xml:space="preserve"> </w:t>
      </w:r>
      <w:r>
        <w:t xml:space="preserve">within-cell elevation range, land-cover type diversity (Shannon diversity of</w:t>
      </w:r>
      <w:r>
        <w:t xml:space="preserve"> </w:t>
      </w:r>
      <w:r>
        <w:t xml:space="preserve">the six WorldCover class shares, row-normalised; cells with &lt;5% mapped cover</w:t>
      </w:r>
      <w:r>
        <w:t xml:space="preserve"> </w:t>
      </w:r>
      <w:r>
        <w:t xml:space="preserve">excluded) and EarthEnv remote-sensing texture. Their thermal content —</w:t>
      </w:r>
      <w:r>
        <w:t xml:space="preserve"> </w:t>
      </w:r>
      <w:r>
        <w:t xml:space="preserve">|Spearman</w:t>
      </w:r>
      <w:r>
        <w:t xml:space="preserve"> </w:t>
      </w:r>
      <w:r>
        <w:rPr>
          <w:i/>
          <w:iCs/>
        </w:rPr>
        <w:t xml:space="preserve">r</w:t>
      </w:r>
      <w:r>
        <w:t xml:space="preserve">| with mean annual temperature — spans 0.05 to 0.52, and the</w:t>
      </w:r>
      <w:r>
        <w:t xml:space="preserve"> </w:t>
      </w:r>
      <w:r>
        <w:t xml:space="preserve">ectotherm excess was then tested as a</w:t>
      </w:r>
      <w:r>
        <w:t xml:space="preserve"> </w:t>
      </w:r>
      <w:r>
        <w:rPr>
          <w:b/>
          <w:bCs/>
        </w:rPr>
        <w:t xml:space="preserve">dose–response</w:t>
      </w:r>
      <w:r>
        <w:t xml:space="preserve"> </w:t>
      </w:r>
      <w:r>
        <w:t xml:space="preserve">across all eight</w:t>
      </w:r>
      <w:r>
        <w:t xml:space="preserve"> </w:t>
      </w:r>
      <w:r>
        <w:t xml:space="preserve">predictors (Spearman correlation of log-ratio with thermal content).</w:t>
      </w:r>
    </w:p>
    <w:p>
      <w:pPr>
        <w:pStyle w:val="BodyText"/>
      </w:pPr>
      <w:r>
        <w:rPr>
          <w:b/>
          <w:bCs/>
        </w:rPr>
        <w:t xml:space="preserve">Family-level replication.</w:t>
      </w:r>
      <w:r>
        <w:t xml:space="preserve"> </w:t>
      </w:r>
      <w:r>
        <w:t xml:space="preserve">Grid cells are not independent and classes number</w:t>
      </w:r>
      <w:r>
        <w:t xml:space="preserve"> </w:t>
      </w:r>
      <w:r>
        <w:t xml:space="preserve">four, so the class contrast was replicated with</w:t>
      </w:r>
      <w:r>
        <w:t xml:space="preserve"> </w:t>
      </w:r>
      <w:r>
        <w:rPr>
          <w:b/>
          <w:bCs/>
        </w:rPr>
        <w:t xml:space="preserve">families</w:t>
      </w:r>
      <w:r>
        <w:t xml:space="preserve"> </w:t>
      </w:r>
      <w:r>
        <w:t xml:space="preserve">as units (mixed</w:t>
      </w:r>
      <w:r>
        <w:t xml:space="preserve"> </w:t>
      </w:r>
      <w:r>
        <w:t xml:space="preserve">model with (1|class/order) nesting; Wilcoxon as a distribution-free check).</w:t>
      </w:r>
      <w:r>
        <w:t xml:space="preserve"> </w:t>
      </w:r>
      <w:r>
        <w:t xml:space="preserve">Family-specific SAR models regress each family’s assemblage metrics on five</w:t>
      </w:r>
      <w:r>
        <w:t xml:space="preserve"> </w:t>
      </w:r>
      <w:r>
        <w:t xml:space="preserve">composite environmental axes — the first principal components of the thermal,</w:t>
      </w:r>
      <w:r>
        <w:t xml:space="preserve"> </w:t>
      </w:r>
      <w:r>
        <w:t xml:space="preserve">water, productivity, habitat-structure and human-pressure variable groups</w:t>
      </w:r>
      <w:r>
        <w:t xml:space="preserve"> </w:t>
      </w:r>
      <w:r>
        <w:t xml:space="preserve">(Extended Data Fig. 13) — rather than on the six named predictors used at the</w:t>
      </w:r>
      <w:r>
        <w:t xml:space="preserve"> </w:t>
      </w:r>
      <w:r>
        <w:t xml:space="preserve">grid-cell level. This is why coupling was also re-operationalised on the named</w:t>
      </w:r>
      <w:r>
        <w:t xml:space="preserve"> </w:t>
      </w:r>
      <w:r>
        <w:t xml:space="preserve">thermal variables (below).</w:t>
      </w:r>
      <w:r>
        <w:t xml:space="preserve"> </w:t>
      </w:r>
      <w:r>
        <w:t xml:space="preserve">Families enter at ≥20 Chinese species and ≥100 occupied cells — both</w:t>
      </w:r>
      <w:r>
        <w:t xml:space="preserve"> </w:t>
      </w:r>
      <w:r>
        <w:t xml:space="preserve">estimability requirements — retaining 33 of 166 families but 87% of ectotherm</w:t>
      </w:r>
      <w:r>
        <w:t xml:space="preserve"> </w:t>
      </w:r>
      <w:r>
        <w:t xml:space="preserve">and 63% of endotherm species. The full pipeline was re-run at ≥10/≥50 and</w:t>
      </w:r>
      <w:r>
        <w:t xml:space="preserve"> </w:t>
      </w:r>
      <w:r>
        <w:t xml:space="preserve">≥30/≥150 to test threshold sensitivity, and coupling was re-operationalised</w:t>
      </w:r>
      <w:r>
        <w:t xml:space="preserve"> </w:t>
      </w:r>
      <w:r>
        <w:t xml:space="preserve">(axis</w:t>
      </w:r>
      <w:r>
        <w:t xml:space="preserve"> </w:t>
      </w:r>
      <w:r>
        <w:rPr>
          <w:i/>
          <w:iCs/>
        </w:rPr>
        <w:t xml:space="preserve">R</w:t>
      </w:r>
      <w:r>
        <w:t xml:space="preserve">² on named thermal variables) to test definition sensitivity.</w:t>
      </w:r>
    </w:p>
    <w:p>
      <w:pPr>
        <w:pStyle w:val="BodyText"/>
      </w:pPr>
      <w:r>
        <w:t xml:space="preserve">The family-level responses are drawn from the fixed six-trait core computed in</w:t>
      </w:r>
      <w:r>
        <w:t xml:space="preserve"> </w:t>
      </w:r>
      <w:r>
        <w:t xml:space="preserve">the community-metrics step, in which body size enters as body mass for every</w:t>
      </w:r>
      <w:r>
        <w:t xml:space="preserve"> </w:t>
      </w:r>
      <w:r>
        <w:t xml:space="preserve">class so that the cross-class contrast concerns a single named quantity.</w:t>
      </w:r>
      <w:r>
        <w:t xml:space="preserve"> </w:t>
      </w:r>
      <w:r>
        <w:t xml:space="preserve">Amphibian mass, however, is 74.7% derived allometrically from length</w:t>
      </w:r>
      <w:r>
        <w:t xml:space="preserve"> </w:t>
      </w:r>
      <w:r>
        <w:t xml:space="preserve">(Extended Data Fig. 4), and amphibian assemblage mass and length correlate only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0.76 (reptiles 0.87; birds 0.98; mammals 1.00), so the choice is not</w:t>
      </w:r>
      <w:r>
        <w:t xml:space="preserve"> </w:t>
      </w:r>
      <w:r>
        <w:t xml:space="preserve">cosmetic. We therefore re-ran the whole family-level pipeline with one size</w:t>
      </w:r>
      <w:r>
        <w:t xml:space="preserve"> </w:t>
      </w:r>
      <w:r>
        <w:t xml:space="preserve">measure per class — length for amphibians, matching the trait protocol used for</w:t>
      </w:r>
      <w:r>
        <w:t xml:space="preserve"> </w:t>
      </w:r>
      <w:r>
        <w:t xml:space="preserve">the functional axes and the grid-cell driver models — and report both</w:t>
      </w:r>
      <w:r>
        <w:t xml:space="preserve"> </w:t>
      </w:r>
      <w:r>
        <w:t xml:space="preserve">(Supplementary Table 7). Only the size response changes: the Gower distance</w:t>
      </w:r>
      <w:r>
        <w:t xml:space="preserve"> </w:t>
      </w:r>
      <w:r>
        <w:t xml:space="preserve">underlying functional dispersion is computed within family, so the measures it</w:t>
      </w:r>
      <w:r>
        <w:t xml:space="preserve"> </w:t>
      </w:r>
      <w:r>
        <w:t xml:space="preserve">contains affect all species of a family alike and do not enter the cross-class</w:t>
      </w:r>
      <w:r>
        <w:t xml:space="preserve"> </w:t>
      </w:r>
      <w:r>
        <w:t xml:space="preserve">comparison.</w:t>
      </w:r>
    </w:p>
    <w:bookmarkEnd w:id="20"/>
    <w:bookmarkStart w:id="21" w:name="robustness-to-metric-and-method"/>
    <w:p>
      <w:pPr>
        <w:pStyle w:val="Heading3"/>
      </w:pPr>
      <w:r>
        <w:t xml:space="preserve">2.11 Robustness to metric and method</w:t>
      </w:r>
    </w:p>
    <w:p>
      <w:pPr>
        <w:pStyle w:val="FirstParagraph"/>
      </w:pPr>
      <w:r>
        <w:t xml:space="preserve">Conclusions were re-checked with three hull-free functional-diversity indices</w:t>
      </w:r>
      <w:r>
        <w:t xml:space="preserve"> </w:t>
      </w:r>
      <w:r>
        <w:t xml:space="preserve">(FEve, FDis, RaoQ) against the same six predictors, and with non-metric</w:t>
      </w:r>
      <w:r>
        <w:t xml:space="preserve"> </w:t>
      </w:r>
      <w:r>
        <w:t xml:space="preserve">multidimensional scaling of assemblage trait composition (</w:t>
      </w:r>
      <w:r>
        <w:rPr>
          <w:i/>
          <w:iCs/>
        </w:rPr>
        <w:t xml:space="preserve">k</w:t>
      </w:r>
      <w:r>
        <w:t xml:space="preserve"> </w:t>
      </w:r>
      <w:r>
        <w:t xml:space="preserve">= 2, Euclidean on</w:t>
      </w:r>
      <w:r>
        <w:t xml:space="preserve"> </w:t>
      </w:r>
      <w:r>
        <w:t xml:space="preserve">z-scored CWM profiles, 1,200-cell stratified subsample) followed by post hoc</w:t>
      </w:r>
      <w:r>
        <w:t xml:space="preserve"> </w:t>
      </w:r>
      <w:r>
        <w:t xml:space="preserve">environmental vector fitting (999 permutations). The 100-km grid replicates the</w:t>
      </w:r>
      <w:r>
        <w:t xml:space="preserve"> </w:t>
      </w:r>
      <w:r>
        <w:t xml:space="preserve">main models at a coarser grain (Extended Data Fig. 14), the thermal contrast</w:t>
      </w:r>
      <w:r>
        <w:t xml:space="preserve"> </w:t>
      </w:r>
      <w:r>
        <w:t xml:space="preserve">was re-run leaving out each class in turn, and assemblage standardised effects</w:t>
      </w:r>
      <w:r>
        <w:t xml:space="preserve"> </w:t>
      </w:r>
      <w:r>
        <w:t xml:space="preserve">were recomputed from species with fully observed core traits only (Extended Data Fig. 15).</w:t>
      </w:r>
    </w:p>
    <w:bookmarkEnd w:id="21"/>
    <w:bookmarkStart w:id="22" w:name="conservation-analyses"/>
    <w:p>
      <w:pPr>
        <w:pStyle w:val="Heading3"/>
      </w:pPr>
      <w:r>
        <w:t xml:space="preserve">2.12 Conservation analyses</w:t>
      </w:r>
    </w:p>
    <w:p>
      <w:pPr>
        <w:pStyle w:val="FirstParagraph"/>
      </w:pPr>
      <w:r>
        <w:rPr>
          <w:b/>
          <w:bCs/>
        </w:rPr>
        <w:t xml:space="preserve">Coverage and gaps.</w:t>
      </w:r>
      <w:r>
        <w:t xml:space="preserve"> </w:t>
      </w:r>
      <w:r>
        <w:t xml:space="preserve">Reserve boundaries (1,028 national and provincial nature</w:t>
      </w:r>
      <w:r>
        <w:t xml:space="preserve"> </w:t>
      </w:r>
      <w:r>
        <w:t xml:space="preserve">reserves, 2021 vintage) were intersected with the grid to give per-cell</w:t>
      </w:r>
      <w:r>
        <w:t xml:space="preserve"> </w:t>
      </w:r>
      <w:r>
        <w:t xml:space="preserve">protected fractions. Gap cells per class are those in the top richness or</w:t>
      </w:r>
      <w:r>
        <w:t xml:space="preserve"> </w:t>
      </w:r>
      <w:r>
        <w:t xml:space="preserve">functional-diversity quartile with below-median protection; cross-class gap</w:t>
      </w:r>
      <w:r>
        <w:t xml:space="preserve"> </w:t>
      </w:r>
      <w:r>
        <w:t xml:space="preserve">overlap used Jaccard similarity. As a model-free institutional correlate, we</w:t>
      </w:r>
      <w:r>
        <w:t xml:space="preserve"> </w:t>
      </w:r>
      <w:r>
        <w:t xml:space="preserve">tallied which classes each reserve’s stated protection targets mention.</w:t>
      </w:r>
    </w:p>
    <w:p>
      <w:pPr>
        <w:pStyle w:val="BodyText"/>
      </w:pPr>
      <w:r>
        <w:rPr>
          <w:b/>
          <w:bCs/>
        </w:rPr>
        <w:t xml:space="preserve">Target-based prioritisation.</w:t>
      </w:r>
      <w:r>
        <w:t xml:space="preserve"> </w:t>
      </w:r>
      <w:r>
        <w:t xml:space="preserve">Representation targets (</w:t>
      </w:r>
      <w:r>
        <w:t xml:space="preserve">“at least one cell”</w:t>
      </w:r>
      <w:r>
        <w:t xml:space="preserve">)</w:t>
      </w:r>
      <w:r>
        <w:t xml:space="preserve"> </w:t>
      </w:r>
      <w:r>
        <w:t xml:space="preserve">saturate at ~10% of land and are unrelated to persistence (Rodrigues &amp; Gaston</w:t>
      </w:r>
      <w:r>
        <w:t xml:space="preserve"> </w:t>
      </w:r>
      <w:r>
        <w:t xml:space="preserve">2001; Rodrigues et al. 2004), so targets were set at</w:t>
      </w:r>
      <w:r>
        <w:t xml:space="preserve"> </w:t>
      </w:r>
      <w:r>
        <w:rPr>
          <w:b/>
          <w:bCs/>
        </w:rPr>
        <w:t xml:space="preserve">30% of each feature’s</w:t>
      </w:r>
      <w:r>
        <w:rPr>
          <w:b/>
          <w:bCs/>
        </w:rPr>
        <w:t xml:space="preserve"> </w:t>
      </w:r>
      <w:r>
        <w:rPr>
          <w:b/>
          <w:bCs/>
        </w:rPr>
        <w:t xml:space="preserve">range area</w:t>
      </w:r>
      <w:r>
        <w:t xml:space="preserve">, matching Target 3. Features are species, or functional bins (each</w:t>
      </w:r>
      <w:r>
        <w:t xml:space="preserve"> </w:t>
      </w:r>
      <w:r>
        <w:t xml:space="preserve">axis cut into six within-class quantiles, concatenated with class; 717 occupied</w:t>
      </w:r>
      <w:r>
        <w:t xml:space="preserve"> </w:t>
      </w:r>
      <w:r>
        <w:t xml:space="preserve">bins; sensitivity at 4–8 bins in Supplementary Table 8). A greedy algorithm</w:t>
      </w:r>
      <w:r>
        <w:t xml:space="preserve"> </w:t>
      </w:r>
      <w:r>
        <w:t xml:space="preserve">maximising shortfall reduction per km² was used; greedy selection carries a</w:t>
      </w:r>
      <w:r>
        <w:t xml:space="preserve"> </w:t>
      </w:r>
      <w:r>
        <w:t xml:space="preserve">(1 − 1/e) worst-case guarantee for problems of this form (Nemhauser et al.</w:t>
      </w:r>
      <w:r>
        <w:t xml:space="preserve"> </w:t>
      </w:r>
      <w:r>
        <w:t xml:space="preserve">1978). Species complementarity, trait-space complementarity and richness</w:t>
      </w:r>
      <w:r>
        <w:t xml:space="preserve"> </w:t>
      </w:r>
      <w:r>
        <w:t xml:space="preserve">ranking were compared against 99 random selections and against the existing</w:t>
      </w:r>
      <w:r>
        <w:t xml:space="preserve"> </w:t>
      </w:r>
      <w:r>
        <w:t xml:space="preserve">network, all at equal area.</w:t>
      </w:r>
    </w:p>
    <w:p>
      <w:pPr>
        <w:pStyle w:val="BodyText"/>
      </w:pPr>
      <w:r>
        <w:rPr>
          <w:b/>
          <w:bCs/>
        </w:rPr>
        <w:t xml:space="preserve">Directional under-protection.</w:t>
      </w:r>
      <w:r>
        <w:t xml:space="preserve"> </w:t>
      </w:r>
      <w:r>
        <w:t xml:space="preserve">Per-species protected fraction (protected ÷</w:t>
      </w:r>
      <w:r>
        <w:t xml:space="preserve"> </w:t>
      </w:r>
      <w:r>
        <w:t xml:space="preserve">total range area) was modelled as a quasi-binomial GLM on the</w:t>
      </w:r>
      <w:r>
        <w:t xml:space="preserve"> </w:t>
      </w:r>
      <w:r>
        <w:t xml:space="preserve">protected/unprotected area split with the three axes and log range extent as</w:t>
      </w:r>
      <w:r>
        <w:t xml:space="preserve"> </w:t>
      </w:r>
      <w:r>
        <w:t xml:space="preserve">predictors — quasi-binomial because many species have exactly zero protection,</w:t>
      </w:r>
      <w:r>
        <w:t xml:space="preserve"> </w:t>
      </w:r>
      <w:r>
        <w:t xml:space="preserve">where the clipping required by logit-OLS drives the coefficients.</w:t>
      </w:r>
    </w:p>
    <w:p>
      <w:pPr>
        <w:pStyle w:val="BodyText"/>
      </w:pPr>
      <w:r>
        <w:rPr>
          <w:b/>
          <w:bCs/>
        </w:rPr>
        <w:t xml:space="preserve">Land-use tolerance.</w:t>
      </w:r>
      <w:r>
        <w:t xml:space="preserve"> </w:t>
      </w:r>
      <w:r>
        <w:t xml:space="preserve">Recorded use of artificial habitat (Etard et al. 2020)</w:t>
      </w:r>
      <w:r>
        <w:t xml:space="preserve"> </w:t>
      </w:r>
      <w:r>
        <w:t xml:space="preserve">served as a direct trait-level measure of land-use tolerance (coded for 80.0%</w:t>
      </w:r>
      <w:r>
        <w:t xml:space="preserve"> </w:t>
      </w:r>
      <w:r>
        <w:t xml:space="preserve">of birds, 84.5% of mammals, 67.4% of amphibians; reptiles 21.4%, descriptive</w:t>
      </w:r>
      <w:r>
        <w:t xml:space="preserve"> </w:t>
      </w:r>
      <w:r>
        <w:t xml:space="preserve">only). Tolerance was modelled on the three axes (logistic), its assemblage</w:t>
      </w:r>
      <w:r>
        <w:t xml:space="preserve"> </w:t>
      </w:r>
      <w:r>
        <w:t xml:space="preserve">fraction related to human footprint, and per-species protection related to</w:t>
      </w:r>
      <w:r>
        <w:t xml:space="preserve"> </w:t>
      </w:r>
      <w:r>
        <w:t xml:space="preserve">tolerance (quasi-binomial), always controlling range size because poorly</w:t>
      </w:r>
      <w:r>
        <w:t xml:space="preserve"> </w:t>
      </w:r>
      <w:r>
        <w:t xml:space="preserve">studied species are both more likely uncoded and more likely narrow-ranged.</w:t>
      </w:r>
    </w:p>
    <w:bookmarkEnd w:id="22"/>
    <w:bookmarkStart w:id="23" w:name="software-and-reproducibility"/>
    <w:p>
      <w:pPr>
        <w:pStyle w:val="Heading3"/>
      </w:pPr>
      <w:r>
        <w:t xml:space="preserve">2.13 Software and reproducibility</w:t>
      </w:r>
    </w:p>
    <w:p>
      <w:pPr>
        <w:pStyle w:val="FirstParagraph"/>
      </w:pPr>
      <w:r>
        <w:t xml:space="preserve">All analyses used R 4.5.1 (R Core Team 2025) with sf, terra, spdep, spatialreg,</w:t>
      </w:r>
      <w:r>
        <w:t xml:space="preserve"> </w:t>
      </w:r>
      <w:r>
        <w:t xml:space="preserve">vegan, FD, ade4 (Dray &amp; Dufour 2007), lme4 and missForest, under a fixed seed</w:t>
      </w:r>
      <w:r>
        <w:t xml:space="preserve"> </w:t>
      </w:r>
      <w:r>
        <w:t xml:space="preserve">(20260801). Code, aggregated per-cell results and figures are archived</w:t>
      </w:r>
      <w:r>
        <w:t xml:space="preserve"> </w:t>
      </w:r>
      <w:r>
        <w:t xml:space="preserve">(§ Data and code availability).</w:t>
      </w:r>
    </w:p>
    <w:bookmarkEnd w:id="23"/>
    <w:bookmarkStart w:id="24" w:name="use-of-ai-tools"/>
    <w:p>
      <w:pPr>
        <w:pStyle w:val="Heading3"/>
      </w:pPr>
      <w:r>
        <w:t xml:space="preserve">2.14 Use of AI tools</w:t>
      </w:r>
    </w:p>
    <w:p>
      <w:pPr>
        <w:pStyle w:val="FirstParagraph"/>
      </w:pPr>
      <w:r>
        <w:t xml:space="preserve">[AUTHOR TO CONFIRM BEFORE SUBMISSION — see 05_statements/AI_use_disclosure.md. Nature Portfolio requires LLM use to be documented in the Methods.]</w:t>
      </w:r>
      <w:r>
        <w:t xml:space="preserve"> </w:t>
      </w:r>
      <w:r>
        <w:t xml:space="preserve">An AI assistant (Claude; Anthropic), including the Opus 5 and Opus 5.5 models accessed</w:t>
      </w:r>
      <w:r>
        <w:t xml:space="preserve"> </w:t>
      </w:r>
      <w:r>
        <w:t xml:space="preserve">through Claude Code between August and October 2026, was used under the author’s direction</w:t>
      </w:r>
      <w:r>
        <w:t xml:space="preserve"> </w:t>
      </w:r>
      <w:r>
        <w:t xml:space="preserve">to write and run the R analysis code and produce the figures from that code; to draft and</w:t>
      </w:r>
      <w:r>
        <w:t xml:space="preserve"> </w:t>
      </w:r>
      <w:r>
        <w:t xml:space="preserve">revise the manuscript text, figure legends and Supplementary Information; and to check</w:t>
      </w:r>
      <w:r>
        <w:t xml:space="preserve"> </w:t>
      </w:r>
      <w:r>
        <w:t xml:space="preserve">references against Crossref records and reported values against the result tables. No</w:t>
      </w:r>
      <w:r>
        <w:t xml:space="preserve"> </w:t>
      </w:r>
      <w:r>
        <w:t xml:space="preserve">generative image model was used: every figure is a plot of data rendered by R code.</w:t>
      </w:r>
      <w:r>
        <w:t xml:space="preserve"> </w:t>
      </w:r>
      <w:r>
        <w:t xml:space="preserve">[AUTHOR TO CONFIRM — the author’s own role, for example:</w:t>
      </w:r>
      <w:r>
        <w:t xml:space="preserve"> </w:t>
      </w:r>
      <w:r>
        <w:t xml:space="preserve">“The author defined the research</w:t>
      </w:r>
      <w:r>
        <w:t xml:space="preserve"> </w:t>
      </w:r>
      <w:r>
        <w:t xml:space="preserve">aims, selected the data sources and analyses, reviewed all code, results and text, and takes</w:t>
      </w:r>
      <w:r>
        <w:t xml:space="preserve"> </w:t>
      </w:r>
      <w:r>
        <w:t xml:space="preserve">full responsibility for the content of this paper.”</w:t>
      </w:r>
      <w:r>
        <w:t xml:space="preserve">]</w:t>
      </w:r>
      <w:r>
        <w:t xml:space="preserve"> </w:t>
      </w:r>
      <w:r>
        <w:t xml:space="preserve">[AUTHOR TO CONFIRM — any AI tools used outside this workflow, or</w:t>
      </w:r>
      <w:r>
        <w:t xml:space="preserve"> </w:t>
      </w:r>
      <w:r>
        <w:t xml:space="preserve">“None”</w:t>
      </w:r>
      <w:r>
        <w:t xml:space="preserve">.]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results"/>
    <w:p>
      <w:pPr>
        <w:pStyle w:val="Heading2"/>
      </w:pPr>
      <w:r>
        <w:t xml:space="preserve">3. Results</w:t>
      </w:r>
    </w:p>
    <w:bookmarkStart w:id="26" w:name="X295f7430d2ea4ddf6b6e0fa3d17f62b1dd5b66f"/>
    <w:p>
      <w:pPr>
        <w:pStyle w:val="Heading3"/>
      </w:pPr>
      <w:r>
        <w:t xml:space="preserve">3.1 Assemblage trait structure is at least three separable dimensions</w:t>
      </w:r>
    </w:p>
    <w:p>
      <w:pPr>
        <w:pStyle w:val="FirstParagraph"/>
      </w:pPr>
      <w:r>
        <w:t xml:space="preserve">The three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axes are near-independent within every class: SIZE–PACE</w:t>
      </w:r>
      <w:r>
        <w:t xml:space="preserve"> </w:t>
      </w:r>
      <w:r>
        <w:t xml:space="preserve">−0.107 to 0.030, SIZE–NICHE −0.021 to 0.297, PACE–NICHE −0.197 to 0.097</w:t>
      </w:r>
      <w:r>
        <w:t xml:space="preserve"> </w:t>
      </w:r>
      <w:r>
        <w:t xml:space="preserve">(Fig. 2; Supplementary Table 9). Their geographies do not coincide (Fig. 3),</w:t>
      </w:r>
      <w:r>
        <w:t xml:space="preserve"> </w:t>
      </w:r>
      <w:r>
        <w:t xml:space="preserve">the trait most strongly filtered in each cell is mapped in Extended Data Fig. 16, and their trait–environment coefficient patterns differ (Fig. 4a). H1 is not</w:t>
      </w:r>
      <w:r>
        <w:t xml:space="preserve"> </w:t>
      </w:r>
      <w:r>
        <w:t xml:space="preserve">refuted.</w:t>
      </w:r>
    </w:p>
    <w:bookmarkEnd w:id="26"/>
    <w:bookmarkStart w:id="27" w:name="X939f7929db348222c09812972da76fe21285ab1"/>
    <w:p>
      <w:pPr>
        <w:pStyle w:val="Heading3"/>
      </w:pPr>
      <w:r>
        <w:t xml:space="preserve">3.2 Composite axes are not more sensitive than their component traits</w:t>
      </w:r>
    </w:p>
    <w:p>
      <w:pPr>
        <w:pStyle w:val="FirstParagraph"/>
      </w:pPr>
      <w:r>
        <w:t xml:space="preserve">Comparing each axis’s mean |effect| across the six hypotheses against the mean</w:t>
      </w:r>
      <w:r>
        <w:t xml:space="preserve"> </w:t>
      </w:r>
      <w:r>
        <w:t xml:space="preserve">of its components, six of eight class-by-axis comparisons favour the</w:t>
      </w:r>
      <w:r>
        <w:t xml:space="preserve"> </w:t>
      </w:r>
      <w:r>
        <w:rPr>
          <w:b/>
          <w:bCs/>
        </w:rPr>
        <w:t xml:space="preserve">components</w:t>
      </w:r>
      <w:r>
        <w:t xml:space="preserve">; only amphibian PACE gains (+0.030), while reptile PACE loses</w:t>
      </w:r>
      <w:r>
        <w:t xml:space="preserve"> </w:t>
      </w:r>
      <w:r>
        <w:t xml:space="preserve">most (−0.025) (Fig. 4c; Supplementary Table 10). The routine</w:t>
      </w:r>
      <w:r>
        <w:t xml:space="preserve"> </w:t>
      </w:r>
      <w:r>
        <w:t xml:space="preserve">“PCA first, then</w:t>
      </w:r>
      <w:r>
        <w:t xml:space="preserve"> </w:t>
      </w:r>
      <w:r>
        <w:t xml:space="preserve">regress”</w:t>
      </w:r>
      <w:r>
        <w:t xml:space="preserve"> </w:t>
      </w:r>
      <w:r>
        <w:t xml:space="preserve">workflow therefore</w:t>
      </w:r>
      <w:r>
        <w:t xml:space="preserve"> </w:t>
      </w:r>
      <w:r>
        <w:rPr>
          <w:b/>
          <w:bCs/>
        </w:rPr>
        <w:t xml:space="preserve">understates</w:t>
      </w:r>
      <w:r>
        <w:t xml:space="preserve"> </w:t>
      </w:r>
      <w:r>
        <w:t xml:space="preserve">trait–environment coupling. The</w:t>
      </w:r>
      <w:r>
        <w:t xml:space="preserve"> </w:t>
      </w:r>
      <w:r>
        <w:t xml:space="preserve">value of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axes lies in giving cross-class comparison a common</w:t>
      </w:r>
      <w:r>
        <w:t xml:space="preserve"> </w:t>
      </w:r>
      <w:r>
        <w:t xml:space="preserve">language, not in raising power. We accordingly report single traits and axes</w:t>
      </w:r>
      <w:r>
        <w:t xml:space="preserve"> </w:t>
      </w:r>
      <w:r>
        <w:t xml:space="preserve">side by side throughout.</w:t>
      </w:r>
    </w:p>
    <w:bookmarkEnd w:id="27"/>
    <w:bookmarkStart w:id="28" w:name="X7fa2776d4a5485ea5d498b89cbc90379ccd1347"/>
    <w:p>
      <w:pPr>
        <w:pStyle w:val="Heading3"/>
      </w:pPr>
      <w:r>
        <w:t xml:space="preserve">3.3 Climate dominates, and thermoregulation sets its strength</w:t>
      </w:r>
    </w:p>
    <w:p>
      <w:pPr>
        <w:pStyle w:val="FirstParagraph"/>
      </w:pPr>
      <w:r>
        <w:t xml:space="preserve">Climate carries the great majority of unique explanatory power in every class</w:t>
      </w:r>
      <w:r>
        <w:t xml:space="preserve"> </w:t>
      </w:r>
      <w:r>
        <w:t xml:space="preserve">(unique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 0.341 amphibians, 0.345 birds, 0.396 mammals, 0.240</w:t>
      </w:r>
      <w:r>
        <w:t xml:space="preserve"> </w:t>
      </w:r>
      <w:r>
        <w:t xml:space="preserve">reptiles), against 0.007–0.032 for habitat and 0.005–0.032 for human pressure</w:t>
      </w:r>
      <w:r>
        <w:t xml:space="preserve"> </w:t>
      </w:r>
      <w:r>
        <w:t xml:space="preserve">(Fig. 4b; Supplementary Table 11). Reptiles are the exception in both</w:t>
      </w:r>
      <w:r>
        <w:t xml:space="preserve"> </w:t>
      </w:r>
      <w:r>
        <w:t xml:space="preserve">directions: the lowest climate share and the highest human share (trait</w:t>
      </w:r>
      <w:r>
        <w:t xml:space="preserve"> </w:t>
      </w:r>
      <w:r>
        <w:t xml:space="preserve">responses along the human-footprint gradient in Extended Data Fig. 17).</w:t>
      </w:r>
    </w:p>
    <w:p>
      <w:pPr>
        <w:pStyle w:val="BodyText"/>
      </w:pPr>
      <w:r>
        <w:t xml:space="preserve">Averaged over all responses, the ambient-energy effect is |β| = 0.169 in</w:t>
      </w:r>
      <w:r>
        <w:t xml:space="preserve"> </w:t>
      </w:r>
      <w:r>
        <w:t xml:space="preserve">ectotherms and 0.072 in endotherms — a ratio of</w:t>
      </w:r>
      <w:r>
        <w:t xml:space="preserve"> </w:t>
      </w:r>
      <w:r>
        <w:rPr>
          <w:b/>
          <w:bCs/>
        </w:rPr>
        <w:t xml:space="preserve">2.35</w:t>
      </w:r>
      <w:r>
        <w:t xml:space="preserve"> </w:t>
      </w:r>
      <w:r>
        <w:t xml:space="preserve">(Fig. 4a; Supplementary Table 12). Across the six hypotheses the ectotherm excess is 2.80 (human</w:t>
      </w:r>
      <w:r>
        <w:t xml:space="preserve"> </w:t>
      </w:r>
      <w:r>
        <w:t xml:space="preserve">pressure), 2.35 (ambient energy), 2.08 (productivity), 1.88 (seasonality), 1.30</w:t>
      </w:r>
      <w:r>
        <w:t xml:space="preserve"> </w:t>
      </w:r>
      <w:r>
        <w:t xml:space="preserve">(water) and</w:t>
      </w:r>
      <w:r>
        <w:t xml:space="preserve"> </w:t>
      </w:r>
      <w:r>
        <w:rPr>
          <w:b/>
          <w:bCs/>
        </w:rPr>
        <w:t xml:space="preserve">1.03</w:t>
      </w:r>
      <w:r>
        <w:t xml:space="preserve"> </w:t>
      </w:r>
      <w:r>
        <w:t xml:space="preserve">(habitat heterogeneity).</w:t>
      </w:r>
    </w:p>
    <w:bookmarkEnd w:id="28"/>
    <w:bookmarkStart w:id="29" w:name="X4cc65d108db81e63052a6875c9ad0e210d10d4d"/>
    <w:p>
      <w:pPr>
        <w:pStyle w:val="Heading3"/>
      </w:pPr>
      <w:r>
        <w:t xml:space="preserve">3.4 The thermal asymmetry survives specification, but comes close to its own refutation condition</w:t>
      </w:r>
    </w:p>
    <w:p>
      <w:pPr>
        <w:pStyle w:val="FirstParagraph"/>
      </w:pPr>
      <w:r>
        <w:t xml:space="preserve">We first tested H2 with habitat heterogeneity as a negative control, on the</w:t>
      </w:r>
      <w:r>
        <w:t xml:space="preserve"> </w:t>
      </w:r>
      <w:r>
        <w:t xml:space="preserve">grounds that it carries no thermal information. That control is not</w:t>
      </w:r>
      <w:r>
        <w:t xml:space="preserve"> </w:t>
      </w:r>
      <w:r>
        <w:t xml:space="preserve">proxy-independent. Replacing within-cell elevation range with land-cover type</w:t>
      </w:r>
      <w:r>
        <w:t xml:space="preserve"> </w:t>
      </w:r>
      <w:r>
        <w:t xml:space="preserve">diversity gives an ectotherm excess of 1.81 (95% CI 1.07–2.87), and with</w:t>
      </w:r>
      <w:r>
        <w:t xml:space="preserve"> </w:t>
      </w:r>
      <w:r>
        <w:t xml:space="preserve">EarthEnv remote-sensing texture 0.67 (0.40–1.10), against 1.12 (0.64–1.95) for</w:t>
      </w:r>
      <w:r>
        <w:t xml:space="preserve"> </w:t>
      </w:r>
      <w:r>
        <w:t xml:space="preserve">elevation range (Extended Data Fig. 18; Supplementary Table 13).</w:t>
      </w:r>
    </w:p>
    <w:p>
      <w:pPr>
        <w:pStyle w:val="BodyText"/>
      </w:pPr>
      <w:r>
        <w:t xml:space="preserve">Diagnosing why rescues the test. The three proxies differ greatly in how much</w:t>
      </w:r>
      <w:r>
        <w:t xml:space="preserve"> </w:t>
      </w:r>
      <w:r>
        <w:t xml:space="preserve">temperature information they carry: |Spearman</w:t>
      </w:r>
      <w:r>
        <w:t xml:space="preserve"> </w:t>
      </w:r>
      <w:r>
        <w:rPr>
          <w:i/>
          <w:iCs/>
        </w:rPr>
        <w:t xml:space="preserve">r</w:t>
      </w:r>
      <w:r>
        <w:t xml:space="preserve">| with mean annual temperature</w:t>
      </w:r>
      <w:r>
        <w:t xml:space="preserve"> </w:t>
      </w:r>
      <w:r>
        <w:t xml:space="preserve">is 0.05 (texture), 0.20 (elevation range) and</w:t>
      </w:r>
      <w:r>
        <w:t xml:space="preserve"> </w:t>
      </w:r>
      <w:r>
        <w:rPr>
          <w:b/>
          <w:bCs/>
        </w:rPr>
        <w:t xml:space="preserve">0.52</w:t>
      </w:r>
      <w:r>
        <w:t xml:space="preserve"> </w:t>
      </w:r>
      <w:r>
        <w:t xml:space="preserve">(land-cover diversity).</w:t>
      </w:r>
      <w:r>
        <w:t xml:space="preserve"> </w:t>
      </w:r>
      <w:r>
        <w:t xml:space="preserve">The one proxy showing an ectotherm excess is the one most correlated with</w:t>
      </w:r>
      <w:r>
        <w:t xml:space="preserve"> </w:t>
      </w:r>
      <w:r>
        <w:t xml:space="preserve">temperature — in China land cover is itself arranged along the thermal gradient</w:t>
      </w:r>
      <w:r>
        <w:t xml:space="preserve"> </w:t>
      </w:r>
      <w:r>
        <w:t xml:space="preserve">— so it is a thermal predictor in disguise, not a valid control. Reframed as a</w:t>
      </w:r>
      <w:r>
        <w:t xml:space="preserve"> </w:t>
      </w:r>
      <w:r>
        <w:rPr>
          <w:b/>
          <w:bCs/>
        </w:rPr>
        <w:t xml:space="preserve">trend</w:t>
      </w:r>
      <w:r>
        <w:t xml:space="preserve">, the prediction holds: the ectotherm excess scales with a predictor’s</w:t>
      </w:r>
      <w:r>
        <w:t xml:space="preserve"> </w:t>
      </w:r>
      <w:r>
        <w:t xml:space="preserve">thermal content across eight predictors (Spearman 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0.037). A</w:t>
      </w:r>
      <w:r>
        <w:t xml:space="preserve"> </w:t>
      </w:r>
      <w:r>
        <w:t xml:space="preserve">trend prediction is harder to satisfy by chance than the single point it</w:t>
      </w:r>
      <w:r>
        <w:t xml:space="preserve"> </w:t>
      </w:r>
      <w:r>
        <w:t xml:space="preserve">replaces. The energy ratio itself is robust to specification (1.98–2.63; every</w:t>
      </w:r>
      <w:r>
        <w:t xml:space="preserve"> </w:t>
      </w:r>
      <w:r>
        <w:t xml:space="preserve">95% CI excluding 1).</w:t>
      </w:r>
    </w:p>
    <w:p>
      <w:pPr>
        <w:pStyle w:val="BodyText"/>
      </w:pPr>
      <w:r>
        <w:t xml:space="preserve">The family-level replication is directionally consistent but weaker than the</w:t>
      </w:r>
      <w:r>
        <w:t xml:space="preserve"> </w:t>
      </w:r>
      <w:r>
        <w:t xml:space="preserve">grid-cell result. Ectothermic families show 1.79× the thermal coupling of</w:t>
      </w:r>
      <w:r>
        <w:t xml:space="preserve"> </w:t>
      </w:r>
      <w:r>
        <w:t xml:space="preserve">endothermic families (Fig. 5a,b) at the main threshold (</w:t>
      </w:r>
      <w:r>
        <w:rPr>
          <w:i/>
          <w:iCs/>
        </w:rPr>
        <w:t xml:space="preserve">P</w:t>
      </w:r>
      <w:r>
        <w:t xml:space="preserve"> </w:t>
      </w:r>
      <w:r>
        <w:t xml:space="preserve">= 0.017 mixed model;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</w:t>
      </w:r>
      <w:r>
        <w:t xml:space="preserve"> </w:t>
      </w:r>
      <w:r>
        <w:t xml:space="preserve">0.026 Wilcoxon), 1.71× at ≥30 species (</w:t>
      </w:r>
      <w:r>
        <w:rPr>
          <w:i/>
          <w:iCs/>
        </w:rPr>
        <w:t xml:space="preserve">P</w:t>
      </w:r>
      <w:r>
        <w:t xml:space="preserve"> </w:t>
      </w:r>
      <w:r>
        <w:t xml:space="preserve">= 0.049), but 1.33× and</w:t>
      </w:r>
      <w:r>
        <w:t xml:space="preserve"> </w:t>
      </w:r>
      <w:r>
        <w:t xml:space="preserve">non-significant at ≥10 species (</w:t>
      </w:r>
      <w:r>
        <w:rPr>
          <w:i/>
          <w:iCs/>
        </w:rPr>
        <w:t xml:space="preserve">P</w:t>
      </w:r>
      <w:r>
        <w:t xml:space="preserve"> </w:t>
      </w:r>
      <w:r>
        <w:t xml:space="preserve">= 0.23), where 14 additional small families</w:t>
      </w:r>
      <w:r>
        <w:t xml:space="preserve"> </w:t>
      </w:r>
      <w:r>
        <w:t xml:space="preserve">with noisier coupling estimates enter (Extended Data Fig. 19; Supplementary Table 14). An alternative operationalisation —</w:t>
      </w:r>
      <w:r>
        <w:t xml:space="preserve"> </w:t>
      </w:r>
      <w:r>
        <w:rPr>
          <w:i/>
          <w:iCs/>
        </w:rPr>
        <w:t xml:space="preserve">R</w:t>
      </w:r>
      <w:r>
        <w:t xml:space="preserve">² of the three axes on named</w:t>
      </w:r>
      <w:r>
        <w:t xml:space="preserve"> </w:t>
      </w:r>
      <w:r>
        <w:t xml:space="preserve">thermal variables rather than |β| on a composite thermal axis — gives 1.05. The</w:t>
      </w:r>
      <w:r>
        <w:t xml:space="preserve"> </w:t>
      </w:r>
      <w:r>
        <w:t xml:space="preserve">contrast is, by contrast, insensitive to how body size is measured: substituting</w:t>
      </w:r>
      <w:r>
        <w:t xml:space="preserve"> </w:t>
      </w:r>
      <w:r>
        <w:t xml:space="preserve">length for mass in amphibians — the one class where mass is mostly inferred —</w:t>
      </w:r>
      <w:r>
        <w:t xml:space="preserve"> </w:t>
      </w:r>
      <w:r>
        <w:t xml:space="preserve">moves the thermal ratio from 1.79 to 1.77 and the overall ratio from 1.72 to</w:t>
      </w:r>
      <w:r>
        <w:t xml:space="preserve"> </w:t>
      </w:r>
      <w:r>
        <w:t xml:space="preserve">1.67, with the Wilcoxon test significant either way (Supplementary Table 7). We</w:t>
      </w:r>
      <w:r>
        <w:t xml:space="preserve"> </w:t>
      </w:r>
      <w:r>
        <w:t xml:space="preserve">therefore treat the grid-cell analysis as the primary evidence and the</w:t>
      </w:r>
      <w:r>
        <w:t xml:space="preserve"> </w:t>
      </w:r>
      <w:r>
        <w:t xml:space="preserve">family-level result as directional corroboration, threshold-sensitive in the</w:t>
      </w:r>
      <w:r>
        <w:t xml:space="preserve"> </w:t>
      </w:r>
      <w:r>
        <w:t xml:space="preserve">number of families admitted but not in how their traits are measured.</w:t>
      </w:r>
    </w:p>
    <w:p>
      <w:pPr>
        <w:pStyle w:val="BodyText"/>
      </w:pPr>
      <w:r>
        <w:rPr>
          <w:b/>
          <w:bCs/>
        </w:rPr>
        <w:t xml:space="preserve">H2 comes close to its own refutation condition, and we report it as such.</w:t>
      </w:r>
      <w:r>
        <w:t xml:space="preserve"> </w:t>
      </w:r>
      <w:r>
        <w:t xml:space="preserve">We stated in advance that H2 would be refuted if ectotherms responded more</w:t>
      </w:r>
      <w:r>
        <w:t xml:space="preserve"> </w:t>
      </w:r>
      <w:r>
        <w:t xml:space="preserve">strongly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predictors, since that would indicate a signal-to-noise</w:t>
      </w:r>
      <w:r>
        <w:t xml:space="preserve"> </w:t>
      </w:r>
      <w:r>
        <w:t xml:space="preserve">difference rather than a thermal mechanism. In the event, five of six</w:t>
      </w:r>
      <w:r>
        <w:t xml:space="preserve"> </w:t>
      </w:r>
      <w:r>
        <w:t xml:space="preserve">predictors give ectotherm/endotherm ratios above 1.2 — human pressure 2.80,</w:t>
      </w:r>
      <w:r>
        <w:t xml:space="preserve"> </w:t>
      </w:r>
      <w:r>
        <w:t xml:space="preserve">ambient energy 2.35, productivity 2.08, seasonality 1.88, water 1.30 — and only</w:t>
      </w:r>
      <w:r>
        <w:t xml:space="preserve"> </w:t>
      </w:r>
      <w:r>
        <w:t xml:space="preserve">habitat heterogeneity is flat at 1.03. Ectotherms do respond more strongly to</w:t>
      </w:r>
      <w:r>
        <w:t xml:space="preserve"> </w:t>
      </w:r>
      <w:r>
        <w:t xml:space="preserve">nearly everything.</w:t>
      </w:r>
    </w:p>
    <w:p>
      <w:pPr>
        <w:pStyle w:val="BodyText"/>
      </w:pPr>
      <w:r>
        <w:t xml:space="preserve">Three considerations keep the thermal interpretation alive without rescuing it</w:t>
      </w:r>
      <w:r>
        <w:t xml:space="preserve"> </w:t>
      </w:r>
      <w:r>
        <w:t xml:space="preserve">entirely. (i) The ratio is not constant across predictors, as a pure</w:t>
      </w:r>
      <w:r>
        <w:t xml:space="preserve"> </w:t>
      </w:r>
      <w:r>
        <w:t xml:space="preserve">signal-to-noise account predicts, but ordered: it scales with thermal content</w:t>
      </w:r>
      <w:r>
        <w:t xml:space="preserve"> </w:t>
      </w:r>
      <w:r>
        <w:t xml:space="preserve">(ρ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0.037). (ii) The two predictors with the least thermal content</w:t>
      </w:r>
      <w:r>
        <w:t xml:space="preserve"> </w:t>
      </w:r>
      <w:r>
        <w:t xml:space="preserve">are the two flattest (elevation range 0.198 → 1.12; remote-sensing texture</w:t>
      </w:r>
      <w:r>
        <w:t xml:space="preserve"> </w:t>
      </w:r>
      <w:r>
        <w:t xml:space="preserve">0.054 → 0.67). (iii) The ordering is nonetheless imperfect — human pressure has</w:t>
      </w:r>
      <w:r>
        <w:t xml:space="preserve"> </w:t>
      </w:r>
      <w:r>
        <w:t xml:space="preserve">the highest ratio on only intermediate thermal content (0.609), and water</w:t>
      </w:r>
      <w:r>
        <w:t xml:space="preserve"> </w:t>
      </w:r>
      <w:r>
        <w:t xml:space="preserve">availability has substantial thermal content (0.574) but a low ratio (1.23) —</w:t>
      </w:r>
      <w:r>
        <w:t xml:space="preserve"> </w:t>
      </w:r>
      <w:r>
        <w:t xml:space="preserve">so the dose–response explains the gradient in aggregate rather than each point.</w:t>
      </w:r>
    </w:p>
    <w:p>
      <w:pPr>
        <w:pStyle w:val="BodyText"/>
      </w:pPr>
      <w:r>
        <w:t xml:space="preserve">We therefore state H2 as</w:t>
      </w:r>
      <w:r>
        <w:t xml:space="preserve"> </w:t>
      </w:r>
      <w:r>
        <w:rPr>
          <w:b/>
          <w:bCs/>
        </w:rPr>
        <w:t xml:space="preserve">partially supported</w:t>
      </w:r>
      <w:r>
        <w:t xml:space="preserve">: the energy asymmetry is large</w:t>
      </w:r>
      <w:r>
        <w:t xml:space="preserve"> </w:t>
      </w:r>
      <w:r>
        <w:t xml:space="preserve">and specification-robust, and its magnitude tracks thermal content, but we</w:t>
      </w:r>
      <w:r>
        <w:t xml:space="preserve"> </w:t>
      </w:r>
      <w:r>
        <w:t xml:space="preserve">cannot exclude that part of the ectotherm excess reflects a general difference</w:t>
      </w:r>
      <w:r>
        <w:t xml:space="preserve"> </w:t>
      </w:r>
      <w:r>
        <w:t xml:space="preserve">in how tightly ectotherm assemblages track any environmental gradient. A design</w:t>
      </w:r>
      <w:r>
        <w:t xml:space="preserve"> </w:t>
      </w:r>
      <w:r>
        <w:t xml:space="preserve">that could separate these — contrasting elevational with latitudinal</w:t>
      </w:r>
      <w:r>
        <w:t xml:space="preserve"> </w:t>
      </w:r>
      <w:r>
        <w:t xml:space="preserve">temperature gradients, which differ in how much non-thermal variation</w:t>
      </w:r>
      <w:r>
        <w:t xml:space="preserve"> </w:t>
      </w:r>
      <w:r>
        <w:t xml:space="preserve">accompanies a given change in temperature — is beyond the present data.</w:t>
      </w:r>
      <w:r>
        <w:t xml:space="preserve"> </w:t>
      </w:r>
      <w:r>
        <w:t xml:space="preserve">Matching the two on habitat heterogeneity would not achieve this, because</w:t>
      </w:r>
      <w:r>
        <w:t xml:space="preserve"> </w:t>
      </w:r>
      <w:r>
        <w:t xml:space="preserve">heterogeneity legitimately changes along elevation; it has to be a covariate.</w:t>
      </w:r>
    </w:p>
    <w:bookmarkEnd w:id="29"/>
    <w:bookmarkStart w:id="30" w:name="X1f57fcc27f2e128e1113f97560a946a2b0694bc"/>
    <w:p>
      <w:pPr>
        <w:pStyle w:val="Heading3"/>
      </w:pPr>
      <w:r>
        <w:t xml:space="preserve">3.5 Most links survive a valid test; naive testing inflates by up to 1.72×</w:t>
      </w:r>
    </w:p>
    <w:p>
      <w:pPr>
        <w:pStyle w:val="FirstParagraph"/>
      </w:pPr>
      <w:r>
        <w:t xml:space="preserve">Across 216 hypothesis × response × class tests, naive CWM regression declares</w:t>
      </w:r>
      <w:r>
        <w:t xml:space="preserve"> </w:t>
      </w:r>
      <w:r>
        <w:t xml:space="preserve">89–98% significant; the fourth-corner max test declares 54–76% — an inflation</w:t>
      </w:r>
      <w:r>
        <w:t xml:space="preserve"> </w:t>
      </w:r>
      <w:r>
        <w:t xml:space="preserve">of 1.27× (birds), 1.36× (mammals), 1.55× (amphibians) and 1.72× (reptiles)</w:t>
      </w:r>
      <w:r>
        <w:t xml:space="preserve"> </w:t>
      </w:r>
      <w:r>
        <w:t xml:space="preserve">(Fig. 6b; Supplementary Table 15). Inflation is larger in ectotherms. Of the</w:t>
      </w:r>
      <w:r>
        <w:t xml:space="preserve"> </w:t>
      </w:r>
      <w:r>
        <w:t xml:space="preserve">216 tests, 140 survive, led by ambient energy (29), climatic seasonality (28)</w:t>
      </w:r>
      <w:r>
        <w:t xml:space="preserve"> </w:t>
      </w:r>
      <w:r>
        <w:t xml:space="preserve">and water availability (26), with human pressure last (16) — the same ordering</w:t>
      </w:r>
      <w:r>
        <w:t xml:space="preserve"> </w:t>
      </w:r>
      <w:r>
        <w:t xml:space="preserve">the SAR effect sizes give, so two statistically independent routes agree</w:t>
      </w:r>
      <w:r>
        <w:t xml:space="preserve"> </w:t>
      </w:r>
      <w:r>
        <w:t xml:space="preserve">(Fig. 6; Supplementary Table 16). Under SAR, 49.1% of the 216 coefficients are</w:t>
      </w:r>
      <w:r>
        <w:t xml:space="preserve"> </w:t>
      </w:r>
      <w:r>
        <w:t xml:space="preserve">significant after BH correction.</w:t>
      </w:r>
    </w:p>
    <w:bookmarkEnd w:id="30"/>
    <w:bookmarkStart w:id="31" w:name="X4b9624569c3bb29efb7a0fa7506d9ad6d329d29"/>
    <w:p>
      <w:pPr>
        <w:pStyle w:val="Heading3"/>
      </w:pPr>
      <w:r>
        <w:t xml:space="preserve">3.6 The same conclusions hold under other indices and unconstrained ordination</w:t>
      </w:r>
    </w:p>
    <w:p>
      <w:pPr>
        <w:pStyle w:val="FirstParagraph"/>
      </w:pPr>
      <w:r>
        <w:t xml:space="preserve">Three hull-free functional-diversity indices (FEve, FDis, RaoQ) against the</w:t>
      </w:r>
      <w:r>
        <w:t xml:space="preserve"> </w:t>
      </w:r>
      <w:r>
        <w:t xml:space="preserve">same six hypotheses agree in sign 83–95% of the time within each class, so the</w:t>
      </w:r>
      <w:r>
        <w:t xml:space="preserve"> </w:t>
      </w:r>
      <w:r>
        <w:t xml:space="preserve">conclusions are not an artefact of one index. Non-metric multidimensional</w:t>
      </w:r>
      <w:r>
        <w:t xml:space="preserve"> </w:t>
      </w:r>
      <w:r>
        <w:t xml:space="preserve">scaling of assemblage trait composition converges well in all four classes</w:t>
      </w:r>
      <w:r>
        <w:t xml:space="preserve"> </w:t>
      </w:r>
      <w:r>
        <w:t xml:space="preserve">(stress 0.087–0.100), and post hoc environmental fitting places the strongest</w:t>
      </w:r>
      <w:r>
        <w:t xml:space="preserve"> </w:t>
      </w:r>
      <w:r>
        <w:t xml:space="preserve">vector at</w:t>
      </w:r>
      <w:r>
        <w:t xml:space="preserve"> </w:t>
      </w:r>
      <w:r>
        <w:rPr>
          <w:i/>
          <w:iCs/>
        </w:rPr>
        <w:t xml:space="preserve">R</w:t>
      </w:r>
      <w:r>
        <w:t xml:space="preserve">² = 0.72–0.87 (Extended Data Fig. 20; Supplementary Tables 17–18). An unconstrained ordination therefore recovers the same gradients the</w:t>
      </w:r>
      <w:r>
        <w:t xml:space="preserve"> </w:t>
      </w:r>
      <w:r>
        <w:t xml:space="preserve">constrained CWM models identify.</w:t>
      </w:r>
    </w:p>
    <w:bookmarkEnd w:id="31"/>
    <w:bookmarkStart w:id="32" w:name="no-class-substitutes-for-another"/>
    <w:p>
      <w:pPr>
        <w:pStyle w:val="Heading3"/>
      </w:pPr>
      <w:r>
        <w:t xml:space="preserve">3.7 No class substitutes for another</w:t>
      </w:r>
    </w:p>
    <w:p>
      <w:pPr>
        <w:pStyle w:val="FirstParagraph"/>
      </w:pPr>
      <w:r>
        <w:t xml:space="preserve">Cross-class congruence of functional regionalisations is moderate at best</w:t>
      </w:r>
      <w:r>
        <w:t xml:space="preserve"> </w:t>
      </w:r>
      <w:r>
        <w:t xml:space="preserve">(adjusted Rand index 0.24–0.59), and the least congruent pair is</w:t>
      </w:r>
      <w:r>
        <w:t xml:space="preserve"> </w:t>
      </w:r>
      <w:r>
        <w:rPr>
          <w:b/>
          <w:bCs/>
        </w:rPr>
        <w:t xml:space="preserve">birds–mammals</w:t>
      </w:r>
      <w:r>
        <w:t xml:space="preserve"> </w:t>
      </w:r>
      <w:r>
        <w:t xml:space="preserve">(0.241), not birds–reptiles (0.588) (Fig. 7; Supplementary Table 19); cross-class correlation of functional</w:t>
      </w:r>
      <w:r>
        <w:t xml:space="preserve"> </w:t>
      </w:r>
      <w:r>
        <w:t xml:space="preserve">dispersion is likewise highest between the two endotherm classes (Extended Data Fig. 21). The conservation-relevant asymmetry is instead functional</w:t>
      </w:r>
      <w:r>
        <w:t xml:space="preserve"> </w:t>
      </w:r>
      <w:r>
        <w:t xml:space="preserve">redundancy: functional β relative to taxonomic β gives redundancy 0.810 in</w:t>
      </w:r>
      <w:r>
        <w:t xml:space="preserve"> </w:t>
      </w:r>
      <w:r>
        <w:t xml:space="preserve">birds, 0.659 in mammals and</w:t>
      </w:r>
      <w:r>
        <w:t xml:space="preserve"> </w:t>
      </w:r>
      <w:r>
        <w:rPr>
          <w:b/>
          <w:bCs/>
        </w:rPr>
        <w:t xml:space="preserve">0.338</w:t>
      </w:r>
      <w:r>
        <w:t xml:space="preserve"> </w:t>
      </w:r>
      <w:r>
        <w:t xml:space="preserve">in reptiles (Extended Data Fig. 22; Supplementary Table 20). In</w:t>
      </w:r>
      <w:r>
        <w:t xml:space="preserve"> </w:t>
      </w:r>
      <w:r>
        <w:t xml:space="preserve">reptiles each species carries the most unique function, so species-count</w:t>
      </w:r>
      <w:r>
        <w:t xml:space="preserve"> </w:t>
      </w:r>
      <w:r>
        <w:t xml:space="preserve">protection converts least readily into functional protection.</w:t>
      </w:r>
    </w:p>
    <w:p>
      <w:pPr>
        <w:pStyle w:val="BodyText"/>
      </w:pPr>
      <w:r>
        <w:t xml:space="preserve">Conservation</w:t>
      </w:r>
      <w:r>
        <w:t xml:space="preserve"> </w:t>
      </w:r>
      <w:r>
        <w:rPr>
          <w:b/>
          <w:bCs/>
        </w:rPr>
        <w:t xml:space="preserve">gaps</w:t>
      </w:r>
      <w:r>
        <w:t xml:space="preserve"> </w:t>
      </w:r>
      <w:r>
        <w:t xml:space="preserve">separate the classes even more sharply. Jaccard overlap</w:t>
      </w:r>
      <w:r>
        <w:t xml:space="preserve"> </w:t>
      </w:r>
      <w:r>
        <w:t xml:space="preserve">of gap cells is 0.315 for the two endotherm classes, 0.238 and 0.182 for</w:t>
      </w:r>
      <w:r>
        <w:t xml:space="preserve"> </w:t>
      </w:r>
      <w:r>
        <w:t xml:space="preserve">reptiles against mammals and birds,</w:t>
      </w:r>
      <w:r>
        <w:t xml:space="preserve"> </w:t>
      </w:r>
      <w:r>
        <w:rPr>
          <w:b/>
          <w:bCs/>
        </w:rPr>
        <w:t xml:space="preserve">0.074 and 0.086</w:t>
      </w:r>
      <w:r>
        <w:t xml:space="preserve"> </w:t>
      </w:r>
      <w:r>
        <w:t xml:space="preserve">for amphibians</w:t>
      </w:r>
      <w:r>
        <w:t xml:space="preserve"> </w:t>
      </w:r>
      <w:r>
        <w:t xml:space="preserve">against mammals and birds, and 0.160 for amphibians against reptiles</w:t>
      </w:r>
      <w:r>
        <w:t xml:space="preserve"> </w:t>
      </w:r>
      <w:r>
        <w:t xml:space="preserve">(Extended Data Fig. 23; Supplementary Table 21). The ordering follows thermoregulatory mode: amphibian</w:t>
      </w:r>
      <w:r>
        <w:t xml:space="preserve"> </w:t>
      </w:r>
      <w:r>
        <w:t xml:space="preserve">gaps overlap the other ectotherm class about twice as much as they overlap</w:t>
      </w:r>
      <w:r>
        <w:t xml:space="preserve"> </w:t>
      </w:r>
      <w:r>
        <w:t xml:space="preserve">either endotherm class — but even that is half the bird–mammal value. Looking</w:t>
      </w:r>
      <w:r>
        <w:t xml:space="preserve"> </w:t>
      </w:r>
      <w:r>
        <w:t xml:space="preserve">at birds or mammals will not find the amphibian gaps.</w:t>
      </w:r>
    </w:p>
    <w:p>
      <w:pPr>
        <w:pStyle w:val="BodyText"/>
      </w:pPr>
      <w:r>
        <w:t xml:space="preserve">A model-free institutional correlate points the same way. Of China’s 1,028</w:t>
      </w:r>
      <w:r>
        <w:t xml:space="preserve"> </w:t>
      </w:r>
      <w:r>
        <w:t xml:space="preserve">nature reserves, 17.9% name mammals among their protection targets and 12.8%</w:t>
      </w:r>
      <w:r>
        <w:t xml:space="preserve"> </w:t>
      </w:r>
      <w:r>
        <w:t xml:space="preserve">name birds, against 3.2% for amphibians and</w:t>
      </w:r>
      <w:r>
        <w:t xml:space="preserve"> </w:t>
      </w:r>
      <w:r>
        <w:rPr>
          <w:b/>
          <w:bCs/>
        </w:rPr>
        <w:t xml:space="preserve">1.1%</w:t>
      </w:r>
      <w:r>
        <w:t xml:space="preserve"> </w:t>
      </w:r>
      <w:r>
        <w:t xml:space="preserve">for reptiles</w:t>
      </w:r>
      <w:r>
        <w:t xml:space="preserve"> </w:t>
      </w:r>
      <w:r>
        <w:t xml:space="preserve">(Supplementary Table 22). Consistent with this, only for mammals is assemblage</w:t>
      </w:r>
      <w:r>
        <w:t xml:space="preserve"> </w:t>
      </w:r>
      <w:r>
        <w:t xml:space="preserve">trait volume positively associated with reserve coverage (+0.11); for reptiles</w:t>
      </w:r>
      <w:r>
        <w:t xml:space="preserve"> </w:t>
      </w:r>
      <w:r>
        <w:t xml:space="preserve">it is negative (−0.05), and birds and amphibians are indistinguishable from</w:t>
      </w:r>
      <w:r>
        <w:t xml:space="preserve"> </w:t>
      </w:r>
      <w:r>
        <w:t xml:space="preserve">zero.</w:t>
      </w:r>
    </w:p>
    <w:bookmarkEnd w:id="32"/>
    <w:bookmarkStart w:id="33" w:name="X73d1057187d884d0eac2418a3b8303ca4446e32"/>
    <w:p>
      <w:pPr>
        <w:pStyle w:val="Heading3"/>
      </w:pPr>
      <w:r>
        <w:t xml:space="preserve">3.8 The reserve network’s shortfall is large, and the gap is directional</w:t>
      </w:r>
    </w:p>
    <w:p>
      <w:pPr>
        <w:pStyle w:val="FirstParagraph"/>
      </w:pPr>
      <w:r>
        <w:t xml:space="preserve">China’s nature reserves occupy 10.36% of the land, but only</w:t>
      </w:r>
      <w:r>
        <w:t xml:space="preserve"> </w:t>
      </w:r>
      <w:r>
        <w:rPr>
          <w:b/>
          <w:bCs/>
        </w:rPr>
        <w:t xml:space="preserve">2.9%</w:t>
      </w:r>
      <w:r>
        <w:t xml:space="preserve"> </w:t>
      </w:r>
      <w:r>
        <w:t xml:space="preserve">of species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1.5%</w:t>
      </w:r>
      <w:r>
        <w:t xml:space="preserve"> </w:t>
      </w:r>
      <w:r>
        <w:t xml:space="preserve">of functional bins reach 30% of range protected; an optimal layout</w:t>
      </w:r>
      <w:r>
        <w:t xml:space="preserve"> </w:t>
      </w:r>
      <w:r>
        <w:t xml:space="preserve">of the same area reaches 50.7% and 48.0% (Fig. 8a,b; Supplementary Table 23).</w:t>
      </w:r>
      <w:r>
        <w:t xml:space="preserve"> </w:t>
      </w:r>
      <w:r>
        <w:t xml:space="preserve">Part of this gap reflects concentration — reserves are thinly spread across</w:t>
      </w:r>
      <w:r>
        <w:t xml:space="preserve"> </w:t>
      </w:r>
      <w:r>
        <w:t xml:space="preserve">many cells whereas the greedy solution takes whole cells — and we do not read</w:t>
      </w:r>
      <w:r>
        <w:t xml:space="preserve"> </w:t>
      </w:r>
      <w:r>
        <w:t xml:space="preserve">it as evidence that reserves are simply misplaced.</w:t>
      </w:r>
    </w:p>
    <w:p>
      <w:pPr>
        <w:pStyle w:val="BodyText"/>
      </w:pPr>
      <w:r>
        <w:t xml:space="preserve">Target currency matters most when the budget is tight. At 10% of land a</w:t>
      </w:r>
      <w:r>
        <w:t xml:space="preserve"> </w:t>
      </w:r>
      <w:r>
        <w:t xml:space="preserve">trait-space target covers 46.7% of functional bins against 35.0% for a species</w:t>
      </w:r>
      <w:r>
        <w:t xml:space="preserve"> </w:t>
      </w:r>
      <w:r>
        <w:t xml:space="preserve">target, and at 17% of land 62.8% against 52.9%; by 30% the two converge (92.2%</w:t>
      </w:r>
      <w:r>
        <w:t xml:space="preserve"> </w:t>
      </w:r>
      <w:r>
        <w:t xml:space="preserve">versus 92.3%) (Supplementary Table 24). What matters at the 30% budget is</w:t>
      </w:r>
      <w:r>
        <w:t xml:space="preserve"> </w:t>
      </w:r>
      <w:r>
        <w:t xml:space="preserve">complementarity rather than richness ranking, worth about 9 percentage points</w:t>
      </w:r>
      <w:r>
        <w:t xml:space="preserve"> </w:t>
      </w:r>
      <w:r>
        <w:t xml:space="preserve">(86.4% versus 77.1% of species). The two currencies nevertheless place</w:t>
      </w:r>
      <w:r>
        <w:t xml:space="preserve"> </w:t>
      </w:r>
      <w:r>
        <w:t xml:space="preserve">priorities differently: of the 30% solutions, 764 cells are shared but 377 are</w:t>
      </w:r>
      <w:r>
        <w:t xml:space="preserve"> </w:t>
      </w:r>
      <w:r>
        <w:t xml:space="preserve">selected only by the species target and 379 only by the trait target — about a</w:t>
      </w:r>
      <w:r>
        <w:t xml:space="preserve"> </w:t>
      </w:r>
      <w:r>
        <w:t xml:space="preserve">third of the priority network depends on the currency (Fig. 8e).</w:t>
      </w:r>
    </w:p>
    <w:p>
      <w:pPr>
        <w:pStyle w:val="BodyText"/>
      </w:pPr>
      <w:r>
        <w:t xml:space="preserve">Under-protection is not random. Of twelve axis coefficients, seven are</w:t>
      </w:r>
      <w:r>
        <w:t xml:space="preserve"> </w:t>
      </w:r>
      <w:r>
        <w:t xml:space="preserve">significant after BH correction, and their directions are interpretable</w:t>
      </w:r>
      <w:r>
        <w:t xml:space="preserve"> </w:t>
      </w:r>
      <w:r>
        <w:t xml:space="preserve">(Fig. 8c; Supplementary Table 25). Slow-paced species are under-protected in</w:t>
      </w:r>
      <w:r>
        <w:t xml:space="preserve"> </w:t>
      </w:r>
      <w:r>
        <w:t xml:space="preserve">mammals (−0.123,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5 × 10⁻⁴) and amphibians (−0.182,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6 × 10⁻⁵). The</w:t>
      </w:r>
      <w:r>
        <w:t xml:space="preserve"> </w:t>
      </w:r>
      <w:r>
        <w:t xml:space="preserve">niche axis runs narrow to broad, so its negative coefficients in mammals</w:t>
      </w:r>
      <w:r>
        <w:t xml:space="preserve"> </w:t>
      </w:r>
      <w:r>
        <w:t xml:space="preserve">(−0.177) and amphibians (−0.240,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5 × 10⁻¹⁶) identify</w:t>
      </w:r>
      <w:r>
        <w:t xml:space="preserve"> </w:t>
      </w:r>
      <w:r>
        <w:rPr>
          <w:b/>
          <w:bCs/>
        </w:rPr>
        <w:t xml:space="preserve">wide-ranging</w:t>
      </w:r>
      <w:r>
        <w:rPr>
          <w:b/>
          <w:bCs/>
        </w:rPr>
        <w:t xml:space="preserve"> </w:t>
      </w:r>
      <w:r>
        <w:rPr>
          <w:b/>
          <w:bCs/>
        </w:rPr>
        <w:t xml:space="preserve">generalists</w:t>
      </w:r>
      <w:r>
        <w:t xml:space="preserve">, not specialists, as the under-protected end; reptiles reverse</w:t>
      </w:r>
      <w:r>
        <w:t xml:space="preserve"> </w:t>
      </w:r>
      <w:r>
        <w:t xml:space="preserve">(+0.211). Body size also</w:t>
      </w:r>
      <w:r>
        <w:t xml:space="preserve"> </w:t>
      </w:r>
      <w:r>
        <w:rPr>
          <w:b/>
          <w:bCs/>
        </w:rPr>
        <w:t xml:space="preserve">reverses</w:t>
      </w:r>
      <w:r>
        <w:t xml:space="preserve">: large mammals are better protected</w:t>
      </w:r>
      <w:r>
        <w:t xml:space="preserve"> </w:t>
      </w:r>
      <w:r>
        <w:t xml:space="preserve">(+0.283,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7 × 10⁻¹⁵) while large reptiles are under-protected (−0.308,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2 × 10⁻¹⁰). No bird axis is significant; birds have the widest ranges and</w:t>
      </w:r>
      <w:r>
        <w:t xml:space="preserve"> </w:t>
      </w:r>
      <w:r>
        <w:t xml:space="preserve">are the easiest to cover incidentally. H3 is not refuted.</w:t>
      </w:r>
    </w:p>
    <w:bookmarkEnd w:id="33"/>
    <w:bookmarkStart w:id="34" w:name="X43ddd162a38ebc2e3c33125fcdc8819a5d14213"/>
    <w:p>
      <w:pPr>
        <w:pStyle w:val="Heading3"/>
      </w:pPr>
      <w:r>
        <w:t xml:space="preserve">3.9 The generalist gap is not the alarming direction it appears</w:t>
      </w:r>
    </w:p>
    <w:p>
      <w:pPr>
        <w:pStyle w:val="FirstParagraph"/>
      </w:pPr>
      <w:r>
        <w:t xml:space="preserve">Using recorded use of artificial habitat as a direct trait-level measure of</w:t>
      </w:r>
      <w:r>
        <w:t xml:space="preserve"> </w:t>
      </w:r>
      <w:r>
        <w:t xml:space="preserve">land-use tolerance, niche breadth dominates tolerance (log-odds +2.34</w:t>
      </w:r>
      <w:r>
        <w:t xml:space="preserve"> </w:t>
      </w:r>
      <w:r>
        <w:t xml:space="preserve">amphibians, +1.86 birds, +2.51 mammals; 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10⁻¹²), large-bodied species</w:t>
      </w:r>
      <w:r>
        <w:t xml:space="preserve"> </w:t>
      </w:r>
      <w:r>
        <w:t xml:space="preserve">are less tolerant (−0.30 to −0.45), and pace of life is irrelevant</w:t>
      </w:r>
      <w:r>
        <w:t xml:space="preserve"> </w:t>
      </w:r>
      <w:r>
        <w:t xml:space="preserve">(Extended Data Fig. 24; Supplementary Table 26). At the assemblage level the</w:t>
      </w:r>
      <w:r>
        <w:t xml:space="preserve"> </w:t>
      </w:r>
      <w:r>
        <w:t xml:space="preserve">tolerant fraction rises with human footprint (ρ = 0.37 amphibians, 0.30 birds,</w:t>
      </w:r>
      <w:r>
        <w:t xml:space="preserve"> </w:t>
      </w:r>
      <w:r>
        <w:t xml:space="preserve">0.55 mammals) — the anthropogenic filter read off a trait rather than inferred</w:t>
      </w:r>
      <w:r>
        <w:t xml:space="preserve"> </w:t>
      </w:r>
      <w:r>
        <w:t xml:space="preserve">from a CWM.</w:t>
      </w:r>
    </w:p>
    <w:p>
      <w:pPr>
        <w:pStyle w:val="BodyText"/>
      </w:pPr>
      <w:r>
        <w:t xml:space="preserve">The key test reverses the expectation. Species that tolerate artificial habitat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protected group in all three classes with adequate coverage</w:t>
      </w:r>
      <w:r>
        <w:t xml:space="preserve"> </w:t>
      </w:r>
      <w:r>
        <w:t xml:space="preserve">(quasi-binomial coefficient −0.445 amphibians, −0.217 birds, −0.424 mammals;</w:t>
      </w:r>
      <w:r>
        <w:t xml:space="preserve"> </w:t>
      </w:r>
      <w:r>
        <w:t xml:space="preserve">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2 × 10⁻⁵). Median range protected is 4.34%, 5.68% and 5.65% for</w:t>
      </w:r>
      <w:r>
        <w:t xml:space="preserve"> </w:t>
      </w:r>
      <w:r>
        <w:t xml:space="preserve">intolerant species against 2.74%, 4.89% and 5.29% for tolerant ones</w:t>
      </w:r>
      <w:r>
        <w:t xml:space="preserve"> </w:t>
      </w:r>
      <w:r>
        <w:t xml:space="preserve">(Supplementary Table 27). Reserves sit in remote cold high country, which is</w:t>
      </w:r>
      <w:r>
        <w:t xml:space="preserve"> </w:t>
      </w:r>
      <w:r>
        <w:t xml:space="preserve">where specialists are; generalists live in the human-dominated east where</w:t>
      </w:r>
      <w:r>
        <w:t xml:space="preserve"> </w:t>
      </w:r>
      <w:r>
        <w:t xml:space="preserve">reserves are scarce. The generalist gap is therefore real but reassuring in</w:t>
      </w:r>
      <w:r>
        <w:t xml:space="preserve"> </w:t>
      </w:r>
      <w:r>
        <w:t xml:space="preserve">direction: the species least able to persist in modified habitat are, at</w:t>
      </w:r>
      <w:r>
        <w:t xml:space="preserve"> </w:t>
      </w:r>
      <w:r>
        <w:t xml:space="preserve">present, the better protected.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The three results form one argument. Trait structure is not one thing, so it</w:t>
      </w:r>
      <w:r>
        <w:t xml:space="preserve"> </w:t>
      </w:r>
      <w:r>
        <w:t xml:space="preserve">must be examined dimension by dimension (Q1). Each dimension is governed by</w:t>
      </w:r>
      <w:r>
        <w:t xml:space="preserve"> </w:t>
      </w:r>
      <w:r>
        <w:t xml:space="preserve">climate, but the strength of that governance is set by thermoregulatory mode</w:t>
      </w:r>
      <w:r>
        <w:t xml:space="preserve"> </w:t>
      </w:r>
      <w:r>
        <w:t xml:space="preserve">(Q2). Because classes are filtered at different strengths and are poor</w:t>
      </w:r>
      <w:r>
        <w:t xml:space="preserve"> </w:t>
      </w:r>
      <w:r>
        <w:t xml:space="preserve">surrogates for one another, a species-currency network leaves a functional gap</w:t>
      </w:r>
      <w:r>
        <w:t xml:space="preserve"> </w:t>
      </w:r>
      <w:r>
        <w:t xml:space="preserve">whose direction is predictable — and, being predictable, locatable and closable</w:t>
      </w:r>
      <w:r>
        <w:t xml:space="preserve"> </w:t>
      </w:r>
      <w:r>
        <w:t xml:space="preserve">(Q3).</w:t>
      </w:r>
    </w:p>
    <w:bookmarkStart w:id="36" w:name="X0e2dbbff725774af4afbe885c2a7e396a3fd4b0"/>
    <w:p>
      <w:pPr>
        <w:pStyle w:val="Heading3"/>
      </w:pPr>
      <w:r>
        <w:t xml:space="preserve">4.1 A multidimensional trait geography, and why composites dilute</w:t>
      </w:r>
    </w:p>
    <w:p>
      <w:pPr>
        <w:pStyle w:val="FirstParagraph"/>
      </w:pPr>
      <w:r>
        <w:t xml:space="preserve">That body size, pace of life and niche breadth vary near-independently across</w:t>
      </w:r>
      <w:r>
        <w:t xml:space="preserve"> </w:t>
      </w:r>
      <w:r>
        <w:t xml:space="preserve">Chinese vertebrate assemblages parallels what plant syntheses found for size</w:t>
      </w:r>
      <w:r>
        <w:t xml:space="preserve"> </w:t>
      </w:r>
      <w:r>
        <w:t xml:space="preserve">and economics (Díaz et al. 2016; Bruelheide et al. 2018), and it extends the</w:t>
      </w:r>
      <w:r>
        <w:t xml:space="preserve"> </w:t>
      </w:r>
      <w:r>
        <w:t xml:space="preserve">classical single-trait gradients — Bergmann-type size clines (Meiri &amp; Dayan</w:t>
      </w:r>
      <w:r>
        <w:t xml:space="preserve"> </w:t>
      </w:r>
      <w:r>
        <w:t xml:space="preserve">2003; Olalla-Tárraga et al. 2006; Olson et al. 2009) and Rapoport-type</w:t>
      </w:r>
      <w:r>
        <w:t xml:space="preserve"> </w:t>
      </w:r>
      <w:r>
        <w:t xml:space="preserve">range-size gradients (Stevens 1989) — into a joint, cross-class framework. The</w:t>
      </w:r>
      <w:r>
        <w:t xml:space="preserve"> </w:t>
      </w:r>
      <w:r>
        <w:t xml:space="preserve">practical lesson is sharper than the parallel: composites usually</w:t>
      </w:r>
      <w:r>
        <w:t xml:space="preserve"> </w:t>
      </w:r>
      <w:r>
        <w:rPr>
          <w:i/>
          <w:iCs/>
        </w:rPr>
        <w:t xml:space="preserve">dilute</w:t>
      </w:r>
      <w:r>
        <w:t xml:space="preserve">.</w:t>
      </w:r>
      <w:r>
        <w:t xml:space="preserve"> </w:t>
      </w:r>
      <w:r>
        <w:t xml:space="preserve">Averaging traits whose environmental responses differ in sign or strength</w:t>
      </w:r>
      <w:r>
        <w:t xml:space="preserve"> </w:t>
      </w:r>
      <w:r>
        <w:t xml:space="preserve">cancels signal, which is why six of eight composites underperform their</w:t>
      </w:r>
      <w:r>
        <w:t xml:space="preserve"> </w:t>
      </w:r>
      <w:r>
        <w:t xml:space="preserve">components. Studies that summarise assemblage traits with PC1 before</w:t>
      </w:r>
      <w:r>
        <w:t xml:space="preserve"> </w:t>
      </w:r>
      <w:r>
        <w:t xml:space="preserve">regression — still the modal workflow — should expect to understate</w:t>
      </w:r>
      <w:r>
        <w:t xml:space="preserve"> </w:t>
      </w:r>
      <w:r>
        <w:t xml:space="preserve">trait–environment coupling, and cross-class comparisons of free-rotating</w:t>
      </w:r>
      <w:r>
        <w:t xml:space="preserve"> </w:t>
      </w:r>
      <w:r>
        <w:t xml:space="preserve">components risk comparing different quantities altogether. Fixed,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axes solve the comparability problem; they do not, and on this evidence cannot,</w:t>
      </w:r>
      <w:r>
        <w:t xml:space="preserve"> </w:t>
      </w:r>
      <w:r>
        <w:t xml:space="preserve">solve the power problem. Reporting single traits alongside axes costs little</w:t>
      </w:r>
      <w:r>
        <w:t xml:space="preserve"> </w:t>
      </w:r>
      <w:r>
        <w:t xml:space="preserve">and guards against both failure modes.</w:t>
      </w:r>
    </w:p>
    <w:bookmarkEnd w:id="36"/>
    <w:bookmarkStart w:id="37" w:name="X41488f553e9590a1b34606b069cb06a478d5e87"/>
    <w:p>
      <w:pPr>
        <w:pStyle w:val="Heading3"/>
      </w:pPr>
      <w:r>
        <w:t xml:space="preserve">4.2 Thermal buffering: partially supported, honestly bounded</w:t>
      </w:r>
    </w:p>
    <w:p>
      <w:pPr>
        <w:pStyle w:val="FirstParagraph"/>
      </w:pPr>
      <w:r>
        <w:t xml:space="preserve">The prediction that endothermy buffers assemblage composition against thermal</w:t>
      </w:r>
      <w:r>
        <w:t xml:space="preserve"> </w:t>
      </w:r>
      <w:r>
        <w:t xml:space="preserve">filtering (Huey &amp; Kingsolver 1989; Angilletta 2009; Deutsch et al. 2008; Khaliq</w:t>
      </w:r>
      <w:r>
        <w:t xml:space="preserve"> </w:t>
      </w:r>
      <w:r>
        <w:t xml:space="preserve">et al. 2014) survives in its strongest quantitative form — a ~2.3× energy</w:t>
      </w:r>
      <w:r>
        <w:t xml:space="preserve"> </w:t>
      </w:r>
      <w:r>
        <w:t xml:space="preserve">asymmetry, stable across specifications, scaling with a predictor’s thermal</w:t>
      </w:r>
      <w:r>
        <w:t xml:space="preserve"> </w:t>
      </w:r>
      <w:r>
        <w:t xml:space="preserve">content — yet our own pre-stated falsifier was nearly met, because ectotherms</w:t>
      </w:r>
      <w:r>
        <w:t xml:space="preserve"> </w:t>
      </w:r>
      <w:r>
        <w:t xml:space="preserve">track almost every gradient more tightly. Candidate explanations for that</w:t>
      </w:r>
      <w:r>
        <w:t xml:space="preserve"> </w:t>
      </w:r>
      <w:r>
        <w:t xml:space="preserve">general excess are not mutually exclusive: genuinely tighter environmental</w:t>
      </w:r>
      <w:r>
        <w:t xml:space="preserve"> </w:t>
      </w:r>
      <w:r>
        <w:t xml:space="preserve">control of ectotherm distributions (Sunday et al. 2011; Kearney &amp; Porter 2009);</w:t>
      </w:r>
      <w:r>
        <w:t xml:space="preserve"> </w:t>
      </w:r>
      <w:r>
        <w:t xml:space="preserve">smaller ranges and lower occupancy producing steeper assemblage turnover;</w:t>
      </w:r>
      <w:r>
        <w:t xml:space="preserve"> </w:t>
      </w:r>
      <w:r>
        <w:t xml:space="preserve">seasonality acting as a second thermal axis for organisms that cannot buffer it</w:t>
      </w:r>
      <w:r>
        <w:t xml:space="preserve"> </w:t>
      </w:r>
      <w:r>
        <w:t xml:space="preserve">(Janzen 1967) — consistent with seasonality’s high ratio here (1.88); and</w:t>
      </w:r>
      <w:r>
        <w:t xml:space="preserve"> </w:t>
      </w:r>
      <w:r>
        <w:t xml:space="preserve">residual imputation noise attenuating endotherm coefficients less than</w:t>
      </w:r>
      <w:r>
        <w:t xml:space="preserve"> </w:t>
      </w:r>
      <w:r>
        <w:t xml:space="preserve">ectotherm ones. The dose–response argues that thermal content is the organising</w:t>
      </w:r>
      <w:r>
        <w:t xml:space="preserve"> </w:t>
      </w:r>
      <w:r>
        <w:t xml:space="preserve">variable, but its exceptions (human pressure high, water low) mark the boundary</w:t>
      </w:r>
      <w:r>
        <w:t xml:space="preserve"> </w:t>
      </w:r>
      <w:r>
        <w:t xml:space="preserve">of what these data can attribute. Marine comparisons show ectotherms living</w:t>
      </w:r>
      <w:r>
        <w:t xml:space="preserve"> </w:t>
      </w:r>
      <w:r>
        <w:t xml:space="preserve">closer to their thermal limits than terrestrial ones (Pinsky et al. 2019); an</w:t>
      </w:r>
      <w:r>
        <w:t xml:space="preserve"> </w:t>
      </w:r>
      <w:r>
        <w:t xml:space="preserve">analogous within-terrestrial design — elevational versus latitudinal</w:t>
      </w:r>
      <w:r>
        <w:t xml:space="preserve"> </w:t>
      </w:r>
      <w:r>
        <w:t xml:space="preserve">temperature gradients, contrasted by how much non-thermal variation accompanies</w:t>
      </w:r>
      <w:r>
        <w:t xml:space="preserve"> </w:t>
      </w:r>
      <w:r>
        <w:t xml:space="preserve">each — is the experiment our result sets up. Local coupling estimates, which</w:t>
      </w:r>
      <w:r>
        <w:t xml:space="preserve"> </w:t>
      </w:r>
      <w:r>
        <w:t xml:space="preserve">could in principle map where the asymmetry is strongest, are attenuated in</w:t>
      </w:r>
      <w:r>
        <w:t xml:space="preserve"> </w:t>
      </w:r>
      <w:r>
        <w:t xml:space="preserve">species-poor cells and are reported only as a diagnostic (Extended Data Fig. 25). Meanwhile the applied implication is not hostage to mechanism:</w:t>
      </w:r>
      <w:r>
        <w:t xml:space="preserve"> </w:t>
      </w:r>
      <w:r>
        <w:t xml:space="preserve">whatever its ultimate cause, ectotherm assemblage composition is the more</w:t>
      </w:r>
      <w:r>
        <w:t xml:space="preserve"> </w:t>
      </w:r>
      <w:r>
        <w:t xml:space="preserve">climate-exposed, and warming should reorganise it faster.</w:t>
      </w:r>
    </w:p>
    <w:bookmarkEnd w:id="37"/>
    <w:bookmarkStart w:id="38" w:name="Xc49e37d63831180308cfda46f0db1847147460d"/>
    <w:p>
      <w:pPr>
        <w:pStyle w:val="Heading3"/>
      </w:pPr>
      <w:r>
        <w:t xml:space="preserve">4.3 Inference practice: what this study changes</w:t>
      </w:r>
    </w:p>
    <w:p>
      <w:pPr>
        <w:pStyle w:val="FirstParagraph"/>
      </w:pPr>
      <w:r>
        <w:t xml:space="preserve">Three methodological results travel beyond this system. First, the CWM Type I</w:t>
      </w:r>
      <w:r>
        <w:t xml:space="preserve"> </w:t>
      </w:r>
      <w:r>
        <w:t xml:space="preserve">problem (Dray &amp; Legendre 2008; Peres-Neto et al. 2017; Zelený 2018; Hawkins et</w:t>
      </w:r>
      <w:r>
        <w:t xml:space="preserve"> </w:t>
      </w:r>
      <w:r>
        <w:t xml:space="preserve">al. 2017) is not an abstract worry: on real national-scale data the naive test</w:t>
      </w:r>
      <w:r>
        <w:t xml:space="preserve"> </w:t>
      </w:r>
      <w:r>
        <w:t xml:space="preserve">declares 89–98% of links significant where the valid max test (ter Braak et al.</w:t>
      </w:r>
      <w:r>
        <w:t xml:space="preserve"> </w:t>
      </w:r>
      <w:r>
        <w:t xml:space="preserve">2012) sustains 54–76%, and the inflation is largest exactly in the endemic-rich</w:t>
      </w:r>
      <w:r>
        <w:t xml:space="preserve"> </w:t>
      </w:r>
      <w:r>
        <w:t xml:space="preserve">ectotherm classes where conclusions matter most for conservation. Second,</w:t>
      </w:r>
      <w:r>
        <w:t xml:space="preserve"> </w:t>
      </w:r>
      <w:r>
        <w:t xml:space="preserve">equiprobable null models manufacture trait clustering wherever narrow-ranged</w:t>
      </w:r>
      <w:r>
        <w:t xml:space="preserve"> </w:t>
      </w:r>
      <w:r>
        <w:t xml:space="preserve">species are common; occupancy weighting removed an amphibian</w:t>
      </w:r>
      <w:r>
        <w:t xml:space="preserve"> </w:t>
      </w:r>
      <w:r>
        <w:t xml:space="preserve">“over-dispersion”</w:t>
      </w:r>
      <w:r>
        <w:t xml:space="preserve"> </w:t>
      </w:r>
      <w:r>
        <w:t xml:space="preserve">signal we had initially believed. Third, environmental-filtering language</w:t>
      </w:r>
      <w:r>
        <w:t xml:space="preserve"> </w:t>
      </w:r>
      <w:r>
        <w:t xml:space="preserve">(Keddy 1992) needs the discipline urged by its critics (Kraft et al. 2015;</w:t>
      </w:r>
      <w:r>
        <w:t xml:space="preserve"> </w:t>
      </w:r>
      <w:r>
        <w:t xml:space="preserve">Cadotte &amp; Tucker 2017): our</w:t>
      </w:r>
      <w:r>
        <w:t xml:space="preserve"> </w:t>
      </w:r>
      <w:r>
        <w:t xml:space="preserve">“filtering”</w:t>
      </w:r>
      <w:r>
        <w:t xml:space="preserve"> </w:t>
      </w:r>
      <w:r>
        <w:t xml:space="preserve">is assemblage-level association,</w:t>
      </w:r>
      <w:r>
        <w:t xml:space="preserve"> </w:t>
      </w:r>
      <w:r>
        <w:t xml:space="preserve">validated against permutation nulls, not demonstrated exclusion — and one of</w:t>
      </w:r>
      <w:r>
        <w:t xml:space="preserve"> </w:t>
      </w:r>
      <w:r>
        <w:t xml:space="preserve">our headline lessons is how easily an invalid control (a</w:t>
      </w:r>
      <w:r>
        <w:t xml:space="preserve"> </w:t>
      </w:r>
      <w:r>
        <w:t xml:space="preserve">“structural”</w:t>
      </w:r>
      <w:r>
        <w:t xml:space="preserve"> </w:t>
      </w:r>
      <w:r>
        <w:t xml:space="preserve">variable</w:t>
      </w:r>
      <w:r>
        <w:t xml:space="preserve"> </w:t>
      </w:r>
      <w:r>
        <w:t xml:space="preserve">that secretly carries temperature) can masquerade as mechanism.</w:t>
      </w:r>
    </w:p>
    <w:bookmarkEnd w:id="38"/>
    <w:bookmarkStart w:id="39" w:name="Xff1ca52bf0b7a532fa6b6740ce7ce9fd32985f5"/>
    <w:p>
      <w:pPr>
        <w:pStyle w:val="Heading3"/>
      </w:pPr>
      <w:r>
        <w:t xml:space="preserve">4.4 Directional gaps, their institutional signature, and 30×30</w:t>
      </w:r>
    </w:p>
    <w:p>
      <w:pPr>
        <w:pStyle w:val="FirstParagraph"/>
      </w:pPr>
      <w:r>
        <w:t xml:space="preserve">The reserve network’s functional gap has a sign, and the sign has a history.</w:t>
      </w:r>
      <w:r>
        <w:t xml:space="preserve"> </w:t>
      </w:r>
      <w:r>
        <w:t xml:space="preserve">Large mammals are the best-protected trait end (+0.283) while large reptiles</w:t>
      </w:r>
      <w:r>
        <w:t xml:space="preserve"> </w:t>
      </w:r>
      <w:r>
        <w:t xml:space="preserve">are the worst (−0.308) — precisely what a network assembled around flagship</w:t>
      </w:r>
      <w:r>
        <w:t xml:space="preserve"> </w:t>
      </w:r>
      <w:r>
        <w:t xml:space="preserve">mammal conservation would produce, and consistent with the global neglect of</w:t>
      </w:r>
      <w:r>
        <w:t xml:space="preserve"> </w:t>
      </w:r>
      <w:r>
        <w:t xml:space="preserve">reptiles in assessment and protection (Böhm et al. 2013; Roll et al. 2017; Cox</w:t>
      </w:r>
      <w:r>
        <w:t xml:space="preserve"> </w:t>
      </w:r>
      <w:r>
        <w:t xml:space="preserve">et al. 2022). The designation record makes the mechanism legible without any</w:t>
      </w:r>
      <w:r>
        <w:t xml:space="preserve"> </w:t>
      </w:r>
      <w:r>
        <w:t xml:space="preserve">model: mammals are named as protection targets sixteen times as often as</w:t>
      </w:r>
      <w:r>
        <w:t xml:space="preserve"> </w:t>
      </w:r>
      <w:r>
        <w:t xml:space="preserve">reptiles. This institutional signature matters because it is addressable by</w:t>
      </w:r>
      <w:r>
        <w:t xml:space="preserve"> </w:t>
      </w:r>
      <w:r>
        <w:t xml:space="preserve">policy, not just by land.</w:t>
      </w:r>
    </w:p>
    <w:p>
      <w:pPr>
        <w:pStyle w:val="BodyText"/>
      </w:pPr>
      <w:r>
        <w:t xml:space="preserve">Amphibians sharpen the surrogacy warning to its limit. Their gap cells overlap</w:t>
      </w:r>
      <w:r>
        <w:t xml:space="preserve"> </w:t>
      </w:r>
      <w:r>
        <w:t xml:space="preserve">those of birds and mammals by 0.074 and 0.086, and those of reptiles by 0.160 —</w:t>
      </w:r>
      <w:r>
        <w:t xml:space="preserve"> </w:t>
      </w:r>
      <w:r>
        <w:t xml:space="preserve">versus 0.315 between birds and mammals — so no</w:t>
      </w:r>
      <w:r>
        <w:t xml:space="preserve"> </w:t>
      </w:r>
      <w:r>
        <w:t xml:space="preserve">amount of bird- or mammal-based planning will find them (Rodrigues &amp; Brooks</w:t>
      </w:r>
      <w:r>
        <w:t xml:space="preserve"> </w:t>
      </w:r>
      <w:r>
        <w:t xml:space="preserve">2007). Given the global amphibian decline (Stuart et al. 2004; Luedtke et al.</w:t>
      </w:r>
      <w:r>
        <w:t xml:space="preserve"> </w:t>
      </w:r>
      <w:r>
        <w:t xml:space="preserve">2023), amphibian priorities must be derived from amphibian data; in China those</w:t>
      </w:r>
      <w:r>
        <w:t xml:space="preserve"> </w:t>
      </w:r>
      <w:r>
        <w:t xml:space="preserve">data now exist (Song et al. 2022).</w:t>
      </w:r>
    </w:p>
    <w:p>
      <w:pPr>
        <w:pStyle w:val="BodyText"/>
      </w:pPr>
      <w:r>
        <w:t xml:space="preserve">For Target 3 (CBD 2022; Maxwell et al. 2020), the analysis yields three</w:t>
      </w:r>
      <w:r>
        <w:t xml:space="preserve"> </w:t>
      </w:r>
      <w:r>
        <w:t xml:space="preserve">planning rules. (i) The binding constraint today is siting and concentration,</w:t>
      </w:r>
      <w:r>
        <w:t xml:space="preserve"> </w:t>
      </w:r>
      <w:r>
        <w:t xml:space="preserve">not currency: the same 10.36% of land, optimally arranged, would raise</w:t>
      </w:r>
      <w:r>
        <w:t xml:space="preserve"> </w:t>
      </w:r>
      <w:r>
        <w:t xml:space="preserve">target attainment by an order of magnitude. (ii) At tight budgets (10–17% of</w:t>
      </w:r>
      <w:r>
        <w:t xml:space="preserve"> </w:t>
      </w:r>
      <w:r>
        <w:t xml:space="preserve">land) a functional currency buys 10–12 extra percentage points of trait-space</w:t>
      </w:r>
      <w:r>
        <w:t xml:space="preserve"> </w:t>
      </w:r>
      <w:r>
        <w:t xml:space="preserve">coverage; by 30% the currencies converge, and what matters is complementarity</w:t>
      </w:r>
      <w:r>
        <w:t xml:space="preserve"> </w:t>
      </w:r>
      <w:r>
        <w:t xml:space="preserve">over richness ranking (Kukkala &amp; Moilanen 2013) — worth ~9 points of species</w:t>
      </w:r>
      <w:r>
        <w:t xml:space="preserve"> </w:t>
      </w:r>
      <w:r>
        <w:t xml:space="preserve">attainment. (iii) Because a third of the 30% network depends on the currency,</w:t>
      </w:r>
      <w:r>
        <w:t xml:space="preserve"> </w:t>
      </w:r>
      <w:r>
        <w:t xml:space="preserve">the choice should be explicit, not incidental. The apparent paradox that</w:t>
      </w:r>
      <w:r>
        <w:t xml:space="preserve"> </w:t>
      </w:r>
      <w:r>
        <w:t xml:space="preserve">under-protected generalists are also the land-use-tolerant species (Etard &amp;</w:t>
      </w:r>
      <w:r>
        <w:t xml:space="preserve"> </w:t>
      </w:r>
      <w:r>
        <w:t xml:space="preserve">Newbold 2024; Newbold et al. 2015) resolves the alarm but not the obligation:</w:t>
      </w:r>
      <w:r>
        <w:t xml:space="preserve"> </w:t>
      </w:r>
      <w:r>
        <w:t xml:space="preserve">tolerance of modified habitat is persistence in degraded states, not a</w:t>
      </w:r>
      <w:r>
        <w:t xml:space="preserve"> </w:t>
      </w:r>
      <w:r>
        <w:t xml:space="preserve">conservation outcome equivalent to protection.</w:t>
      </w:r>
    </w:p>
    <w:bookmarkEnd w:id="39"/>
    <w:bookmarkStart w:id="40" w:name="limitations"/>
    <w:p>
      <w:pPr>
        <w:pStyle w:val="Heading3"/>
      </w:pPr>
      <w:r>
        <w:t xml:space="preserve">4.5 Limitations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Range maps overstate local occupancy.</w:t>
      </w:r>
      <w:r>
        <w:t xml:space="preserve"> </w:t>
      </w:r>
      <w:r>
        <w:t xml:space="preserve">We use them for comparability with</w:t>
      </w:r>
      <w:r>
        <w:t xml:space="preserve"> </w:t>
      </w:r>
      <w:r>
        <w:t xml:space="preserve">the antecedent studies and validate against GBIF-derived assemblages, where</w:t>
      </w:r>
      <w:r>
        <w:t xml:space="preserve"> </w:t>
      </w:r>
      <w:r>
        <w:t xml:space="preserve">conclusions hold in direction. One earlier claim — that range maps</w:t>
      </w:r>
      <w:r>
        <w:t xml:space="preserve"> </w:t>
      </w:r>
      <w:r>
        <w:t xml:space="preserve">understate anthropogenic effects — survives only for birds once identical</w:t>
      </w:r>
      <w:r>
        <w:t xml:space="preserve"> </w:t>
      </w:r>
      <w:r>
        <w:t xml:space="preserve">cells are compared, and has been narrowed accordingly.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Protection fraction is an upper bound</w:t>
      </w:r>
      <w:r>
        <w:t xml:space="preserve">: it does not deduct unsuitable</w:t>
      </w:r>
      <w:r>
        <w:t xml:space="preserve"> </w:t>
      </w:r>
      <w:r>
        <w:t xml:space="preserve">habitat inside reserves. The bias runs the same way for all species, so it</w:t>
      </w:r>
      <w:r>
        <w:t xml:space="preserve"> </w:t>
      </w:r>
      <w:r>
        <w:t xml:space="preserve">does not affect comparisons</w:t>
      </w:r>
      <w:r>
        <w:t xml:space="preserve"> </w:t>
      </w:r>
      <w:r>
        <w:rPr>
          <w:i/>
          <w:iCs/>
        </w:rPr>
        <w:t xml:space="preserve">between traits</w:t>
      </w:r>
      <w:r>
        <w:t xml:space="preserve">, which is what we use it for.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efficiency gap partly reflects concentration</w:t>
      </w:r>
      <w:r>
        <w:t xml:space="preserve"> </w:t>
      </w:r>
      <w:r>
        <w:t xml:space="preserve">rather than siting; we</w:t>
      </w:r>
      <w:r>
        <w:t xml:space="preserve"> </w:t>
      </w:r>
      <w:r>
        <w:t xml:space="preserve">have not separated the two, which would require a constrained optimisation</w:t>
      </w:r>
      <w:r>
        <w:t xml:space="preserve"> </w:t>
      </w:r>
      <w:r>
        <w:t xml:space="preserve">preserving the observed reserve size distribution.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 nature reserves are included</w:t>
      </w:r>
      <w:r>
        <w:t xml:space="preserve">, not national parks or other</w:t>
      </w:r>
      <w:r>
        <w:t xml:space="preserve"> </w:t>
      </w:r>
      <w:r>
        <w:t xml:space="preserve">categories, so coverage is a lower bound on China’s protected-area system</w:t>
      </w:r>
      <w:r>
        <w:t xml:space="preserve"> </w:t>
      </w:r>
      <w:r>
        <w:t xml:space="preserve">(cf. Xu et al. 2017).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Ectotherm life-history values are substantially imputed.</w:t>
      </w:r>
      <w:r>
        <w:t xml:space="preserve"> </w:t>
      </w:r>
      <w:r>
        <w:t xml:space="preserve">Supplementary Table 4 gives observed fractions trait by trait; traits below 30% observed</w:t>
      </w:r>
      <w:r>
        <w:t xml:space="preserve"> </w:t>
      </w:r>
      <w:r>
        <w:t xml:space="preserve">are excluded from core analyses. Generation length remains unavailable for</w:t>
      </w:r>
      <w:r>
        <w:t xml:space="preserve"> </w:t>
      </w:r>
      <w:r>
        <w:t xml:space="preserve">both ectotherm classes and is the single largest remaining data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family-level thermal contrast is threshold-sensitive</w:t>
      </w:r>
      <w:r>
        <w:t xml:space="preserve"> </w:t>
      </w:r>
      <w:r>
        <w:t xml:space="preserve">(§3.4) and</w:t>
      </w:r>
      <w:r>
        <w:t xml:space="preserve"> </w:t>
      </w:r>
      <w:r>
        <w:t xml:space="preserve">should not be cited independently of the grid-cell result.</w:t>
      </w:r>
    </w:p>
    <w:bookmarkEnd w:id="40"/>
    <w:bookmarkStart w:id="41" w:name="conclusions-and-outlook"/>
    <w:p>
      <w:pPr>
        <w:pStyle w:val="Heading3"/>
      </w:pPr>
      <w:r>
        <w:t xml:space="preserve">4.6 Conclusions and outlook</w:t>
      </w:r>
    </w:p>
    <w:p>
      <w:pPr>
        <w:pStyle w:val="FirstParagraph"/>
      </w:pPr>
      <w:r>
        <w:t xml:space="preserve">Assemblage trait structure in Chinese terrestrial vertebrates is</w:t>
      </w:r>
      <w:r>
        <w:t xml:space="preserve"> </w:t>
      </w:r>
      <w:r>
        <w:t xml:space="preserve">multidimensional, climate-governed with a strength set largely by</w:t>
      </w:r>
      <w:r>
        <w:t xml:space="preserve"> </w:t>
      </w:r>
      <w:r>
        <w:t xml:space="preserve">thermoregulatory mode, and mirrored by a conservation network whose functional</w:t>
      </w:r>
      <w:r>
        <w:t xml:space="preserve"> </w:t>
      </w:r>
      <w:r>
        <w:t xml:space="preserve">blind spots are directional and institutionally legible. Three extensions</w:t>
      </w:r>
      <w:r>
        <w:t xml:space="preserve"> </w:t>
      </w:r>
      <w:r>
        <w:t xml:space="preserve">follow directly. Compiling ectotherm generation length from the</w:t>
      </w:r>
      <w:r>
        <w:t xml:space="preserve"> </w:t>
      </w:r>
      <w:r>
        <w:t xml:space="preserve">Chinese-language natural-history literature would let the fast–slow axis be</w:t>
      </w:r>
      <w:r>
        <w:t xml:space="preserve"> </w:t>
      </w:r>
      <w:r>
        <w:t xml:space="preserve">defined by both ends rather than a residual. Because ectotherm composition is</w:t>
      </w:r>
      <w:r>
        <w:t xml:space="preserve"> </w:t>
      </w:r>
      <w:r>
        <w:t xml:space="preserve">the more energy-exposed, projecting the fitted models through warming scenarios</w:t>
      </w:r>
      <w:r>
        <w:t xml:space="preserve"> </w:t>
      </w:r>
      <w:r>
        <w:t xml:space="preserve">yields a falsifiable forecast: faster compositional reorganisation in reptile</w:t>
      </w:r>
      <w:r>
        <w:t xml:space="preserve"> </w:t>
      </w:r>
      <w:r>
        <w:t xml:space="preserve">and amphibian assemblages than in birds and mammals. And the 50-km priority</w:t>
      </w:r>
      <w:r>
        <w:t xml:space="preserve"> </w:t>
      </w:r>
      <w:r>
        <w:t xml:space="preserve">layer is a beginning, not a plan — within the identified cells, land use,</w:t>
      </w:r>
      <w:r>
        <w:t xml:space="preserve"> </w:t>
      </w:r>
      <w:r>
        <w:t xml:space="preserve">tenure and connectivity will determine implementable parcels.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The aggregated data underlying every figure and table — per-cell assemblage</w:t>
      </w:r>
      <w:r>
        <w:t xml:space="preserve"> </w:t>
      </w:r>
      <w:r>
        <w:t xml:space="preserve">metrics, community-weighted trait moments, functional-axis scores, model</w:t>
      </w:r>
      <w:r>
        <w:t xml:space="preserve"> </w:t>
      </w:r>
      <w:r>
        <w:t xml:space="preserve">coefficients and all result tables — together with the complete analysis code</w:t>
      </w:r>
      <w:r>
        <w:t xml:space="preserve"> </w:t>
      </w:r>
      <w:r>
        <w:t xml:space="preserve">are available at https://github.com/dingchenchen6/china-vertebrate-trait-biogeography</w:t>
      </w:r>
      <w:r>
        <w:t xml:space="preserve"> </w:t>
      </w:r>
      <w:r>
        <w:t xml:space="preserve">and archived at [Zenodo DOI]. The pipeline runs end to end from the raw public</w:t>
      </w:r>
      <w:r>
        <w:t xml:space="preserve"> </w:t>
      </w:r>
      <w:r>
        <w:t xml:space="preserve">sources with the random seed fixed at 20260801.</w:t>
      </w:r>
    </w:p>
    <w:p>
      <w:pPr>
        <w:pStyle w:val="BodyText"/>
      </w:pPr>
      <w:r>
        <w:t xml:space="preserve">Species range polygons come from the IUCN Red List and BirdLife International,</w:t>
      </w:r>
      <w:r>
        <w:t xml:space="preserve"> </w:t>
      </w:r>
      <w:r>
        <w:t xml:space="preserve">whose licences prohibit redistribution. The species-by-cell occurrence matrices</w:t>
      </w:r>
      <w:r>
        <w:t xml:space="preserve"> </w:t>
      </w:r>
      <w:r>
        <w:t xml:space="preserve">and species-level trait tables derived from them are therefore not deposited.</w:t>
      </w:r>
      <w:r>
        <w:t xml:space="preserve"> </w:t>
      </w:r>
      <w:r>
        <w:t xml:space="preserve">They are not available on request either: both providers supply the source data</w:t>
      </w:r>
      <w:r>
        <w:t xml:space="preserve"> </w:t>
      </w:r>
      <w:r>
        <w:t xml:space="preserve">free of charge to any user under their standard terms, and the scripts rebuild</w:t>
      </w:r>
      <w:r>
        <w:t xml:space="preserve"> </w:t>
      </w:r>
      <w:r>
        <w:t xml:space="preserve">the derived files from those downloads without manual intervention.</w:t>
      </w:r>
      <w:r>
        <w:t xml:space="preserve"> </w:t>
      </w:r>
      <w:r>
        <w:rPr>
          <w:rStyle w:val="VerbatimChar"/>
        </w:rPr>
        <w:t xml:space="preserve">DATA.md</w:t>
      </w:r>
      <w:r>
        <w:t xml:space="preserve"> </w:t>
      </w:r>
      <w:r>
        <w:t xml:space="preserve">lists every source file, its version, its access date and the script that</w:t>
      </w:r>
      <w:r>
        <w:t xml:space="preserve"> </w:t>
      </w:r>
      <w:r>
        <w:t xml:space="preserve">consumes it. Source data for each main-text figure are indexed by</w:t>
      </w:r>
      <w:r>
        <w:t xml:space="preserve"> </w:t>
      </w:r>
      <w:r>
        <w:rPr>
          <w:rStyle w:val="VerbatimChar"/>
        </w:rPr>
        <w:t xml:space="preserve">table_00_figure_manifest.csv</w:t>
      </w:r>
      <w:r>
        <w:t xml:space="preserve">.</w:t>
      </w:r>
    </w:p>
    <w:bookmarkEnd w:id="43"/>
    <w:bookmarkStart w:id="44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C.D. designed the study, assembled the data, performed all analyses, produced</w:t>
      </w:r>
      <w:r>
        <w:t xml:space="preserve"> </w:t>
      </w:r>
      <w:r>
        <w:t xml:space="preserve">the figures and wrote the manuscript.</w:t>
      </w:r>
    </w:p>
    <w:bookmarkEnd w:id="44"/>
    <w:bookmarkStart w:id="45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p>
      <w:r>
        <w:pict>
          <v:rect style="width:0;height:1.5pt" o:hralign="center" o:hrstd="t" o:hr="t"/>
        </w:pict>
      </w:r>
    </w:p>
    <w:bookmarkEnd w:id="45"/>
    <w:bookmarkStart w:id="54" w:name="figure-legends"/>
    <w:p>
      <w:pPr>
        <w:pStyle w:val="Heading2"/>
      </w:pPr>
      <w:r>
        <w:t xml:space="preserve">Figure legends</w:t>
      </w:r>
    </w:p>
    <w:bookmarkStart w:id="46" w:name="X0aa59cf7991c442f6d436565d112937517609dd"/>
    <w:p>
      <w:pPr>
        <w:pStyle w:val="Heading3"/>
      </w:pPr>
      <w:r>
        <w:t xml:space="preserve">Fig. 1 | Study design, trait coverage and the assemblage framework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The thermal-buffering hypothesis stated as a prediction about slopes. Because</w:t>
      </w:r>
      <w:r>
        <w:t xml:space="preserve"> </w:t>
      </w:r>
      <w:r>
        <w:t xml:space="preserve">endothermy decouples body temperature from ambient conditions, the set of trait values that</w:t>
      </w:r>
      <w:r>
        <w:t xml:space="preserve"> </w:t>
      </w:r>
      <w:r>
        <w:t xml:space="preserve">can persist in an endothermic assemblage should be less tightly constrained by the</w:t>
      </w:r>
      <w:r>
        <w:t xml:space="preserve"> </w:t>
      </w:r>
      <w:r>
        <w:t xml:space="preserve">environment than in an ectothermic one; coupling strength is the slope of assemblage trait</w:t>
      </w:r>
      <w:r>
        <w:t xml:space="preserve"> </w:t>
      </w:r>
      <w:r>
        <w:t xml:space="preserve">composition on the environmental gradient (bars at right).</w:t>
      </w:r>
      <w:r>
        <w:t xml:space="preserve"> </w:t>
      </w:r>
      <w:r>
        <w:rPr>
          <w:b/>
          <w:bCs/>
        </w:rPr>
        <w:t xml:space="preserve">b</w:t>
      </w:r>
      <w:r>
        <w:t xml:space="preserve">, Species analysed per</w:t>
      </w:r>
      <w:r>
        <w:t xml:space="preserve"> </w:t>
      </w:r>
      <w:r>
        <w:t xml:space="preserve">class on the 50-km equal-area grid: 1,177 birds, 631 mammals, 520 reptiles and 509</w:t>
      </w:r>
      <w:r>
        <w:t xml:space="preserve"> </w:t>
      </w:r>
      <w:r>
        <w:t xml:space="preserve">amphibians, 2,837 in total across 3,782 analysable cells.</w:t>
      </w:r>
      <w:r>
        <w:t xml:space="preserve"> </w:t>
      </w:r>
      <w:r>
        <w:rPr>
          <w:b/>
          <w:bCs/>
        </w:rPr>
        <w:t xml:space="preserve">c–f</w:t>
      </w:r>
      <w:r>
        <w:t xml:space="preserve">, Species richness of each</w:t>
      </w:r>
      <w:r>
        <w:t xml:space="preserve"> </w:t>
      </w:r>
      <w:r>
        <w:t xml:space="preserve">class. Grey cells hold fewer than two species of that class; they are not absences.</w:t>
      </w:r>
    </w:p>
    <w:bookmarkEnd w:id="46"/>
    <w:bookmarkStart w:id="47" w:name="X6baa16c06355acd6eacfa1cd17f5d2d2cc3d2e0"/>
    <w:p>
      <w:pPr>
        <w:pStyle w:val="Heading3"/>
      </w:pPr>
      <w:r>
        <w:t xml:space="preserve">Fig. 2 | Three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functional axes and their independence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Definition of the three axes. Rather than rotating a principal-component solution</w:t>
      </w:r>
      <w:r>
        <w:t xml:space="preserve"> </w:t>
      </w:r>
      <w:r>
        <w:t xml:space="preserve">freely within each class — which would make the leading axis denote a different quantity in</w:t>
      </w:r>
      <w:r>
        <w:t xml:space="preserve"> </w:t>
      </w:r>
      <w:r>
        <w:t xml:space="preserve">each class — each axis is a fixed combination of named traits, so that</w:t>
      </w:r>
      <w:r>
        <w:t xml:space="preserve"> </w:t>
      </w:r>
      <w:r>
        <w:t xml:space="preserve">“body size”</w:t>
      </w:r>
      <w:r>
        <w:t xml:space="preserve">,</w:t>
      </w:r>
      <w:r>
        <w:t xml:space="preserve"> </w:t>
      </w:r>
      <w:r>
        <w:t xml:space="preserve">“pace of</w:t>
      </w:r>
      <w:r>
        <w:t xml:space="preserve"> </w:t>
      </w:r>
      <w:r>
        <w:t xml:space="preserve">life”</w:t>
      </w:r>
      <w:r>
        <w:t xml:space="preserve"> </w:t>
      </w:r>
      <w:r>
        <w:t xml:space="preserve">and</w:t>
      </w:r>
      <w:r>
        <w:t xml:space="preserve"> </w:t>
      </w:r>
      <w:r>
        <w:t xml:space="preserve">“niche breadth”</w:t>
      </w:r>
      <w:r>
        <w:t xml:space="preserve"> </w:t>
      </w:r>
      <w:r>
        <w:t xml:space="preserve">mean the same thing in birds, mammals, reptiles and amphibians.</w:t>
      </w:r>
      <w:r>
        <w:t xml:space="preserve"> </w:t>
      </w:r>
      <w:r>
        <w:t xml:space="preserve">Pace of life is the negative residual of fecundity on body size, and is therefore orthogonal</w:t>
      </w:r>
      <w:r>
        <w:t xml:space="preserve"> </w:t>
      </w:r>
      <w:r>
        <w:t xml:space="preserve">to size by construction.</w:t>
      </w:r>
      <w:r>
        <w:t xml:space="preserve"> </w:t>
      </w:r>
      <w:r>
        <w:rPr>
          <w:b/>
          <w:bCs/>
        </w:rPr>
        <w:t xml:space="preserve">b</w:t>
      </w:r>
      <w:r>
        <w:t xml:space="preserve">, Spearman correlations between axis pairs within each class.</w:t>
      </w:r>
      <w:r>
        <w:t xml:space="preserve"> </w:t>
      </w:r>
      <w:r>
        <w:t xml:space="preserve">All |</w:t>
      </w:r>
      <w:r>
        <w:rPr>
          <w:i/>
          <w:iCs/>
        </w:rPr>
        <w:t xml:space="preserve">r</w:t>
      </w:r>
      <w:r>
        <w:t xml:space="preserve">| ≤ 0.30 (maximum 0.297, size–niche in reptiles), so the axes carry separate</w:t>
      </w:r>
      <w:r>
        <w:t xml:space="preserve"> </w:t>
      </w:r>
      <w:r>
        <w:t xml:space="preserve">information.</w:t>
      </w:r>
      <w:r>
        <w:t xml:space="preserve"> </w:t>
      </w:r>
      <w:r>
        <w:rPr>
          <w:b/>
          <w:bCs/>
        </w:rPr>
        <w:t xml:space="preserve">c–f</w:t>
      </w:r>
      <w:r>
        <w:t xml:space="preserve">, The fecundity–size relationship from which the pace axis is built,</w:t>
      </w:r>
      <w:r>
        <w:t xml:space="preserve"> </w:t>
      </w:r>
      <w:r>
        <w:t xml:space="preserve">one panel per class, with its raw Spearman correlation — strongly positive only in</w:t>
      </w:r>
      <w:r>
        <w:t xml:space="preserve"> </w:t>
      </w:r>
      <w:r>
        <w:t xml:space="preserve">reptiles (ρ = +0.67). The pace axis is the residual of this relationship, so it is</w:t>
      </w:r>
      <w:r>
        <w:t xml:space="preserve"> </w:t>
      </w:r>
      <w:r>
        <w:t xml:space="preserve">uncorrelated with size whatever the raw correlation.</w:t>
      </w:r>
    </w:p>
    <w:bookmarkEnd w:id="47"/>
    <w:bookmarkStart w:id="48" w:name="X87eb59cb4e9aef0500424ae43aeb8b68275c0c1"/>
    <w:p>
      <w:pPr>
        <w:pStyle w:val="Heading3"/>
      </w:pPr>
      <w:r>
        <w:t xml:space="preserve">Fig. 3 | Geography of assemblage trait means across China</w:t>
      </w:r>
    </w:p>
    <w:p>
      <w:pPr>
        <w:pStyle w:val="FirstParagraph"/>
      </w:pPr>
      <w:r>
        <w:t xml:space="preserve">Community-weighted means of three traits — body size (</w:t>
      </w:r>
      <w:r>
        <w:rPr>
          <w:b/>
          <w:bCs/>
        </w:rPr>
        <w:t xml:space="preserve">a–d</w:t>
      </w:r>
      <w:r>
        <w:t xml:space="preserve">), habitat breadth (</w:t>
      </w:r>
      <w:r>
        <w:rPr>
          <w:b/>
          <w:bCs/>
        </w:rPr>
        <w:t xml:space="preserve">e–h</w:t>
      </w:r>
      <w:r>
        <w:t xml:space="preserve">)</w:t>
      </w:r>
      <w:r>
        <w:t xml:space="preserve"> </w:t>
      </w:r>
      <w:r>
        <w:t xml:space="preserve">and nocturnality (</w:t>
      </w:r>
      <w:r>
        <w:rPr>
          <w:b/>
          <w:bCs/>
        </w:rPr>
        <w:t xml:space="preserve">i–l</w:t>
      </w:r>
      <w:r>
        <w:t xml:space="preserve">) — for birds, mammals, reptiles and amphibians on the 50-km grid.</w:t>
      </w:r>
      <w:r>
        <w:t xml:space="preserve"> </w:t>
      </w:r>
      <w:r>
        <w:t xml:space="preserve">Each row shares one colour scale. Body size uses one measure per class: body mass for birds,</w:t>
      </w:r>
      <w:r>
        <w:t xml:space="preserve"> </w:t>
      </w:r>
      <w:r>
        <w:t xml:space="preserve">mammals and reptiles, body length for amphibians, whose mass is 74.7% derived allometrically</w:t>
      </w:r>
      <w:r>
        <w:t xml:space="preserve"> </w:t>
      </w:r>
      <w:r>
        <w:t xml:space="preserve">from length (Extended Data Fig. 4). Because traits are standardised within class before the</w:t>
      </w:r>
      <w:r>
        <w:t xml:space="preserve"> </w:t>
      </w:r>
      <w:r>
        <w:t xml:space="preserve">moments are computed, panels remain comparable despite the different underlying measures.</w:t>
      </w:r>
      <w:r>
        <w:t xml:space="preserve"> </w:t>
      </w:r>
      <w:r>
        <w:t xml:space="preserve">Blank cells hold fewer than five species of that class, so assemblage moments are not</w:t>
      </w:r>
      <w:r>
        <w:t xml:space="preserve"> </w:t>
      </w:r>
      <w:r>
        <w:t xml:space="preserve">estimable there;</w:t>
      </w:r>
      <w:r>
        <w:t xml:space="preserve"> </w:t>
      </w:r>
      <w:r>
        <w:rPr>
          <w:b/>
          <w:bCs/>
        </w:rPr>
        <w:t xml:space="preserve">they are not absences</w:t>
      </w:r>
      <w:r>
        <w:t xml:space="preserve">. Cells mapped: birds 100%, mammals 100%, reptiles</w:t>
      </w:r>
      <w:r>
        <w:t xml:space="preserve"> </w:t>
      </w:r>
      <w:r>
        <w:t xml:space="preserve">87%, amphibians 53% of analysable land cells.</w:t>
      </w:r>
    </w:p>
    <w:bookmarkEnd w:id="48"/>
    <w:bookmarkStart w:id="49" w:name="X744c70a2dfa1a933c4dec8a32e9badcc8622910"/>
    <w:p>
      <w:pPr>
        <w:pStyle w:val="Heading3"/>
      </w:pPr>
      <w:r>
        <w:t xml:space="preserve">Fig. 4 | Which biodiversity hypothesis drives assemblage trait structure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Standardised effect of each of six named predictors — one per classical biodiversity</w:t>
      </w:r>
      <w:r>
        <w:t xml:space="preserve"> </w:t>
      </w:r>
      <w:r>
        <w:t xml:space="preserve">hypothesis (ambient energy, water availability, productivity, habitat heterogeneity, climatic</w:t>
      </w:r>
      <w:r>
        <w:t xml:space="preserve"> </w:t>
      </w:r>
      <w:r>
        <w:t xml:space="preserve">seasonality, human pressure) — on every trait and every functional axis, by class, from</w:t>
      </w:r>
      <w:r>
        <w:t xml:space="preserve"> </w:t>
      </w:r>
      <w:r>
        <w:t xml:space="preserve">spatial simultaneous autoregressive error models. Every model controls for all six predictors</w:t>
      </w:r>
      <w:r>
        <w:t xml:space="preserve"> </w:t>
      </w:r>
      <w:r>
        <w:t xml:space="preserve">at once, so each cell is that hypothesis’s unique effect. Dots mark 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  <w:r>
        <w:t xml:space="preserve"> </w:t>
      </w:r>
      <w:r>
        <w:rPr>
          <w:b/>
          <w:bCs/>
        </w:rPr>
        <w:t xml:space="preserve">b</w:t>
      </w:r>
      <w:r>
        <w:t xml:space="preserve">, Variance uniquely attributable to the climate, habitat and human predictor groups.</w:t>
      </w:r>
      <w:r>
        <w:t xml:space="preserve"> </w:t>
      </w:r>
      <w:r>
        <w:t xml:space="preserve">Climate dominates in all four classes (class means 0.240–0.396 of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²) while the</w:t>
      </w:r>
      <w:r>
        <w:t xml:space="preserve"> </w:t>
      </w:r>
      <w:r>
        <w:t xml:space="preserve">habitat and human group means each stay below 0.04.</w:t>
      </w:r>
      <w:r>
        <w:t xml:space="preserve"> </w:t>
      </w:r>
      <w:r>
        <w:rPr>
          <w:b/>
          <w:bCs/>
        </w:rPr>
        <w:t xml:space="preserve">c</w:t>
      </w:r>
      <w:r>
        <w:t xml:space="preserve">, Mean absolute standardised effect</w:t>
      </w:r>
      <w:r>
        <w:t xml:space="preserve"> </w:t>
      </w:r>
      <w:r>
        <w:t xml:space="preserve">of the component traits against that of the composite axis they form. In six of eight</w:t>
      </w:r>
      <w:r>
        <w:t xml:space="preserve"> </w:t>
      </w:r>
      <w:r>
        <w:t xml:space="preserve">comparisons the composite is</w:t>
      </w:r>
      <w:r>
        <w:t xml:space="preserve"> </w:t>
      </w:r>
      <w:r>
        <w:rPr>
          <w:i/>
          <w:iCs/>
        </w:rPr>
        <w:t xml:space="preserve">weaker</w:t>
      </w:r>
      <w:r>
        <w:t xml:space="preserve"> </w:t>
      </w:r>
      <w:r>
        <w:t xml:space="preserve">than its components, so combining traits into an axis</w:t>
      </w:r>
      <w:r>
        <w:t xml:space="preserve"> </w:t>
      </w:r>
      <w:r>
        <w:t xml:space="preserve">dilutes rather than concentrates the environmental signal.</w:t>
      </w:r>
    </w:p>
    <w:bookmarkEnd w:id="49"/>
    <w:bookmarkStart w:id="50" w:name="X7806e1177b1962ed6838846918071773a3e99fb"/>
    <w:p>
      <w:pPr>
        <w:pStyle w:val="Heading3"/>
      </w:pPr>
      <w:r>
        <w:t xml:space="preserve">Fig. 5 | Endotherms and ectotherms differ in trait–environment coupling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Coupling strength — the mean absolute standardised environmental effect — for each of</w:t>
      </w:r>
      <w:r>
        <w:t xml:space="preserve"> </w:t>
      </w:r>
      <w:r>
        <w:t xml:space="preserve">33 families that meet the inclusion thresholds (≥20 Chinese species and ≥100 occupied cells),</w:t>
      </w:r>
      <w:r>
        <w:t xml:space="preserve"> </w:t>
      </w:r>
      <w:r>
        <w:t xml:space="preserve">coloured by class, with boxes summarising the two thermoregulatory modes. Ectotherm families</w:t>
      </w:r>
      <w:r>
        <w:t xml:space="preserve"> </w:t>
      </w:r>
      <w:r>
        <w:t xml:space="preserve">are 1.72× more tightly coupled (Wilcoxon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0.019).</w:t>
      </w:r>
      <w:r>
        <w:t xml:space="preserve"> </w:t>
      </w:r>
      <w:r>
        <w:rPr>
          <w:b/>
          <w:bCs/>
        </w:rPr>
        <w:t xml:space="preserve">b</w:t>
      </w:r>
      <w:r>
        <w:t xml:space="preserve">, The same contrast resolved by</w:t>
      </w:r>
      <w:r>
        <w:t xml:space="preserve"> </w:t>
      </w:r>
      <w:r>
        <w:t xml:space="preserve">environmental axis. Ectotherm families have the higher mean coupling on all five</w:t>
      </w:r>
      <w:r>
        <w:t xml:space="preserve"> </w:t>
      </w:r>
      <w:r>
        <w:t xml:space="preserve">axes, by the smallest margin for water availability, where the two medians are</w:t>
      </w:r>
      <w:r>
        <w:t xml:space="preserve"> </w:t>
      </w:r>
      <w:r>
        <w:t xml:space="preserve">similar. Greyscale distinguishes the</w:t>
      </w:r>
      <w:r>
        <w:t xml:space="preserve"> </w:t>
      </w:r>
      <w:r>
        <w:t xml:space="preserve">thermoregulatory modes so that no colour means both a class and a mode within this figure.</w:t>
      </w:r>
      <w:r>
        <w:t xml:space="preserve"> </w:t>
      </w:r>
      <w:r>
        <w:rPr>
          <w:b/>
          <w:bCs/>
        </w:rPr>
        <w:t xml:space="preserve">c</w:t>
      </w:r>
      <w:r>
        <w:t xml:space="preserve">, Family-level effect of thermal energy on the community-weighted mean of body mass</w:t>
      </w:r>
      <w:r>
        <w:t xml:space="preserve"> </w:t>
      </w:r>
      <w:r>
        <w:t xml:space="preserve">(point estimate ± 95% CI), the single strongest contrast. Body mass is used for all four</w:t>
      </w:r>
      <w:r>
        <w:t xml:space="preserve"> </w:t>
      </w:r>
      <w:r>
        <w:t xml:space="preserve">classes here so that the cross-class comparison concerns one named quantity; substituting</w:t>
      </w:r>
      <w:r>
        <w:t xml:space="preserve"> </w:t>
      </w:r>
      <w:r>
        <w:t xml:space="preserve">length for mass in amphibians — the only class where mass is mostly inferred — moves the</w:t>
      </w:r>
      <w:r>
        <w:t xml:space="preserve"> </w:t>
      </w:r>
      <w:r>
        <w:t xml:space="preserve">overall ratio from 1.72 to 1.67 and the thermal ratio from 1.79 to 1.77 (Supplementary Table 7).</w:t>
      </w:r>
    </w:p>
    <w:p>
      <w:pPr>
        <w:pStyle w:val="BodyText"/>
      </w:pPr>
      <w:r>
        <w:rPr>
          <w:i/>
          <w:iCs/>
        </w:rPr>
        <w:t xml:space="preserve">Families are the replicate unit because classes provide only two replicates per</w:t>
      </w:r>
      <w:r>
        <w:rPr>
          <w:i/>
          <w:iCs/>
        </w:rPr>
        <w:t xml:space="preserve"> </w:t>
      </w:r>
      <w:r>
        <w:rPr>
          <w:i/>
          <w:iCs/>
        </w:rPr>
        <w:t xml:space="preserve">thermoregulatory mode and grid cells are pseudoreplicated. Estimates come from</w:t>
      </w:r>
      <w:r>
        <w:rPr>
          <w:i/>
          <w:iCs/>
        </w:rPr>
        <w:t xml:space="preserve"> </w:t>
      </w:r>
      <w:r>
        <w:rPr>
          <w:i/>
          <w:iCs/>
        </w:rPr>
        <w:t xml:space="preserve">family-specific spatial autoregressive error models on the 50-km grid.</w:t>
      </w:r>
    </w:p>
    <w:bookmarkEnd w:id="50"/>
    <w:bookmarkStart w:id="51" w:name="X4f0efc32b458e4d7636ddcee2bdb8f033663a77"/>
    <w:p>
      <w:pPr>
        <w:pStyle w:val="Heading3"/>
      </w:pPr>
      <w:r>
        <w:t xml:space="preserve">Fig. 6 | Fourth-corner max test of trait–environment links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Signed fourth-corner statistic for every trait × predictor combination, by class. Dots</w:t>
      </w:r>
      <w:r>
        <w:t xml:space="preserve"> </w:t>
      </w:r>
      <w:r>
        <w:t xml:space="preserve">mark links that survive the max test (</w:t>
      </w:r>
      <w:r>
        <w:rPr>
          <w:rStyle w:val="VerbatimChar"/>
        </w:rPr>
        <w:t xml:space="preserve">modeltype = 6</w:t>
      </w:r>
      <w:r>
        <w:t xml:space="preserve">, which permutes sites and species</w:t>
      </w:r>
      <w:r>
        <w:t xml:space="preserve"> </w:t>
      </w:r>
      <w:r>
        <w:t xml:space="preserve">independently and takes the larger of the two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values) at 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  <w:r>
        <w:t xml:space="preserve"> </w:t>
      </w:r>
      <w:r>
        <w:rPr>
          <w:b/>
          <w:bCs/>
        </w:rPr>
        <w:t xml:space="preserve">b</w:t>
      </w:r>
      <w:r>
        <w:t xml:space="preserve">, Percentage of tests declared significant by naive community-weighted-mean regression</w:t>
      </w:r>
      <w:r>
        <w:t xml:space="preserve"> </w:t>
      </w:r>
      <w:r>
        <w:t xml:space="preserve">against the max test. The naive test inflates significance because all sites share a single</w:t>
      </w:r>
      <w:r>
        <w:t xml:space="preserve"> </w:t>
      </w:r>
      <w:r>
        <w:t xml:space="preserve">trait vector, so residuals are not independent: 88.9–98.1% of links are called significant</w:t>
      </w:r>
      <w:r>
        <w:t xml:space="preserve"> </w:t>
      </w:r>
      <w:r>
        <w:t xml:space="preserve">naively against 53.7–75.9% under the valid test, an inflation of 1.27× (birds), 1.36×</w:t>
      </w:r>
      <w:r>
        <w:t xml:space="preserve"> </w:t>
      </w:r>
      <w:r>
        <w:t xml:space="preserve">(mammals), 1.55× (amphibians) and 1.72× (reptiles) — worst in the ectotherm classes.</w:t>
      </w:r>
      <w:r>
        <w:t xml:space="preserve"> </w:t>
      </w:r>
      <w:r>
        <w:rPr>
          <w:b/>
          <w:bCs/>
        </w:rPr>
        <w:t xml:space="preserve">c</w:t>
      </w:r>
      <w:r>
        <w:t xml:space="preserve">, Links surviving the max test per predictor, separated into single traits and composite</w:t>
      </w:r>
      <w:r>
        <w:t xml:space="preserve"> </w:t>
      </w:r>
      <w:r>
        <w:t xml:space="preserve">axes and expressed as proportions because the two have different denominators (24 tests per</w:t>
      </w:r>
      <w:r>
        <w:t xml:space="preserve"> </w:t>
      </w:r>
      <w:r>
        <w:t xml:space="preserve">trait bar, 12 per axis bar).</w:t>
      </w:r>
    </w:p>
    <w:bookmarkEnd w:id="51"/>
    <w:bookmarkStart w:id="52" w:name="X11dab106384de61d4b0194369141b06af93188f"/>
    <w:p>
      <w:pPr>
        <w:pStyle w:val="Heading3"/>
      </w:pPr>
      <w:r>
        <w:t xml:space="preserve">Fig. 7 | No single class is a reliable surrogate for another</w:t>
      </w:r>
    </w:p>
    <w:p>
      <w:pPr>
        <w:pStyle w:val="FirstParagraph"/>
      </w:pPr>
      <w:r>
        <w:rPr>
          <w:b/>
          <w:bCs/>
        </w:rPr>
        <w:t xml:space="preserve">a–c</w:t>
      </w:r>
      <w:r>
        <w:t xml:space="preserve">,</w:t>
      </w:r>
      <w:r>
        <w:t xml:space="preserve"> </w:t>
      </w:r>
      <w:r>
        <w:rPr>
          <w:i/>
          <w:iCs/>
        </w:rPr>
        <w:t xml:space="preserve">k</w:t>
      </w:r>
      <w:r>
        <w:t xml:space="preserve">-means partition of grid cells on their profile of trait-moment standardised</w:t>
      </w:r>
      <w:r>
        <w:t xml:space="preserve"> </w:t>
      </w:r>
      <w:r>
        <w:t xml:space="preserve">effect sizes, with the number of regions chosen by average silhouette width. The dashed line</w:t>
      </w:r>
      <w:r>
        <w:t xml:space="preserve"> </w:t>
      </w:r>
      <w:r>
        <w:t xml:space="preserve">is the Hu Huanyong (Heihe–Tengchong) line, an independent population-geographic divide that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input to the clustering; each class independently recovers a north-west versus</w:t>
      </w:r>
      <w:r>
        <w:t xml:space="preserve"> </w:t>
      </w:r>
      <w:r>
        <w:t xml:space="preserve">south-east division agreeing with it in 76–78% of cells. Mammals additionally separate the</w:t>
      </w:r>
      <w:r>
        <w:t xml:space="preserve"> </w:t>
      </w:r>
      <w:r>
        <w:t xml:space="preserve">Tibetan Plateau and the north-east.</w:t>
      </w:r>
      <w:r>
        <w:t xml:space="preserve"> </w:t>
      </w:r>
      <w:r>
        <w:rPr>
          <w:b/>
          <w:bCs/>
        </w:rPr>
        <w:t xml:space="preserve">d</w:t>
      </w:r>
      <w:r>
        <w:t xml:space="preserve">, Adjusted Rand index between class-specific</w:t>
      </w:r>
      <w:r>
        <w:t xml:space="preserve"> </w:t>
      </w:r>
      <w:r>
        <w:t xml:space="preserve">partitions. The bracketed value forces every class to two regions, which separates</w:t>
      </w:r>
      <w:r>
        <w:t xml:space="preserve"> </w:t>
      </w:r>
      <w:r>
        <w:t xml:space="preserve">“a different boundary”</w:t>
      </w:r>
      <w:r>
        <w:t xml:space="preserve"> </w:t>
      </w:r>
      <w:r>
        <w:t xml:space="preserve">from</w:t>
      </w:r>
      <w:r>
        <w:t xml:space="preserve"> </w:t>
      </w:r>
      <w:r>
        <w:t xml:space="preserve">“a different number of regions”</w:t>
      </w:r>
      <w:r>
        <w:t xml:space="preserve">.</w:t>
      </w:r>
      <w:r>
        <w:t xml:space="preserve"> </w:t>
      </w:r>
      <w:r>
        <w:rPr>
          <w:b/>
          <w:bCs/>
        </w:rPr>
        <w:t xml:space="preserve">e</w:t>
      </w:r>
      <w:r>
        <w:t xml:space="preserve">, Cluster centres, giving</w:t>
      </w:r>
      <w:r>
        <w:t xml:space="preserve"> </w:t>
      </w:r>
      <w:r>
        <w:t xml:space="preserve">each region an interpretable trait signature. Amphibians are omitted: two of the six traits in</w:t>
      </w:r>
      <w:r>
        <w:t xml:space="preserve"> </w:t>
      </w:r>
      <w:r>
        <w:t xml:space="preserve">the profile, body mass and nocturnality, are observed for only 8% and 11% of</w:t>
      </w:r>
      <w:r>
        <w:t xml:space="preserve"> </w:t>
      </w:r>
      <w:r>
        <w:t xml:space="preserve">amphibian species (Supplementary Table 28), so an amphibian partition would</w:t>
      </w:r>
      <w:r>
        <w:t xml:space="preserve"> </w:t>
      </w:r>
      <w:r>
        <w:t xml:space="preserve">largely reflect imputed values.</w:t>
      </w:r>
    </w:p>
    <w:bookmarkEnd w:id="52"/>
    <w:bookmarkStart w:id="53" w:name="Xa733520e77d6028107887660bf60ce3741b97f4"/>
    <w:p>
      <w:pPr>
        <w:pStyle w:val="Heading3"/>
      </w:pPr>
      <w:r>
        <w:t xml:space="preserve">Fig. 8 | Conservation design: complementarity, under-protected traits and 30 × 30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</w:t>
      </w:r>
      <w:r>
        <w:t xml:space="preserve"> </w:t>
      </w:r>
      <w:r>
        <w:rPr>
          <w:b/>
          <w:bCs/>
        </w:rPr>
        <w:t xml:space="preserve">b</w:t>
      </w:r>
      <w:r>
        <w:t xml:space="preserve">, Accumulation curves for target-based greedy complementarity, in which a feature</w:t>
      </w:r>
      <w:r>
        <w:t xml:space="preserve"> </w:t>
      </w:r>
      <w:r>
        <w:t xml:space="preserve">counts as covered once 30% of its range is protected — the Kunming–Montreal Target 3</w:t>
      </w:r>
      <w:r>
        <w:t xml:space="preserve"> </w:t>
      </w:r>
      <w:r>
        <w:t xml:space="preserve">criterion — for functional bins (</w:t>
      </w:r>
      <w:r>
        <w:rPr>
          <w:b/>
          <w:bCs/>
        </w:rPr>
        <w:t xml:space="preserve">a</w:t>
      </w:r>
      <w:r>
        <w:t xml:space="preserve">) and species (</w:t>
      </w:r>
      <w:r>
        <w:rPr>
          <w:b/>
          <w:bCs/>
        </w:rPr>
        <w:t xml:space="preserve">b</w:t>
      </w:r>
      <w:r>
        <w:t xml:space="preserve">). Grey band: 95% of random</w:t>
      </w:r>
      <w:r>
        <w:t xml:space="preserve"> </w:t>
      </w:r>
      <w:r>
        <w:t xml:space="preserve">selections. The existing reserve network (orange point) covers 10.36% of land and brings only</w:t>
      </w:r>
      <w:r>
        <w:t xml:space="preserve"> </w:t>
      </w:r>
      <w:r>
        <w:t xml:space="preserve">1.5% of functional bins and 2.9% of species to target; an optimal layout of the same area</w:t>
      </w:r>
      <w:r>
        <w:t xml:space="preserve"> </w:t>
      </w:r>
      <w:r>
        <w:t xml:space="preserve">reaches 48.0% and 50.7%.</w:t>
      </w:r>
      <w:r>
        <w:t xml:space="preserve"> </w:t>
      </w:r>
      <w:r>
        <w:rPr>
          <w:b/>
          <w:bCs/>
        </w:rPr>
        <w:t xml:space="preserve">c</w:t>
      </w:r>
      <w:r>
        <w:t xml:space="preserve">, Effect of each functional axis on the protected fraction of a</w:t>
      </w:r>
      <w:r>
        <w:t xml:space="preserve"> </w:t>
      </w:r>
      <w:r>
        <w:t xml:space="preserve">species’ range (quasi-binomial GLM weighted by range area, controlling range size). Negative</w:t>
      </w:r>
      <w:r>
        <w:t xml:space="preserve"> </w:t>
      </w:r>
      <w:r>
        <w:t xml:space="preserve">means the high end of that axis is under-protected. Body size reverses between mammals</w:t>
      </w:r>
      <w:r>
        <w:t xml:space="preserve"> </w:t>
      </w:r>
      <w:r>
        <w:t xml:space="preserve">(+0.283) and reptiles (−0.308). Slow pace is under-protected in mammals and</w:t>
      </w:r>
      <w:r>
        <w:t xml:space="preserve"> </w:t>
      </w:r>
      <w:r>
        <w:t xml:space="preserve">amphibians; broad niches are under-protected in mammals and amphibians but better</w:t>
      </w:r>
      <w:r>
        <w:t xml:space="preserve"> </w:t>
      </w:r>
      <w:r>
        <w:t xml:space="preserve">protected in reptiles (+0.211).</w:t>
      </w:r>
      <w:r>
        <w:t xml:space="preserve"> </w:t>
      </w:r>
      <w:r>
        <w:t xml:space="preserve">Note that the niche axis runs narrow → broad, so its negative coefficients identify</w:t>
      </w:r>
      <w:r>
        <w:t xml:space="preserve"> </w:t>
      </w:r>
      <w:r>
        <w:rPr>
          <w:b/>
          <w:bCs/>
        </w:rPr>
        <w:t xml:space="preserve">wide-ranging generalists</w:t>
      </w:r>
      <w:r>
        <w:t xml:space="preserve">, not specialists. Asterisks mark 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  <w:r>
        <w:t xml:space="preserve"> </w:t>
      </w:r>
      <w:r>
        <w:rPr>
          <w:b/>
          <w:bCs/>
        </w:rPr>
        <w:t xml:space="preserve">d</w:t>
      </w:r>
      <w:r>
        <w:t xml:space="preserve">, Percentage of species reaching the 30%-of-range target under the current network and</w:t>
      </w:r>
      <w:r>
        <w:t xml:space="preserve"> </w:t>
      </w:r>
      <w:r>
        <w:t xml:space="preserve">under three 30%-of-land strategies.</w:t>
      </w:r>
      <w:r>
        <w:t xml:space="preserve"> </w:t>
      </w:r>
      <w:r>
        <w:rPr>
          <w:b/>
          <w:bCs/>
        </w:rPr>
        <w:t xml:space="preserve">e</w:t>
      </w:r>
      <w:r>
        <w:t xml:space="preserve">, Priority cells selected at a 30% budget under the</w:t>
      </w:r>
      <w:r>
        <w:t xml:space="preserve"> </w:t>
      </w:r>
      <w:r>
        <w:t xml:space="preserve">species and trait-space targets, and their overlap.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extended-data-figure-legends"/>
    <w:p>
      <w:pPr>
        <w:pStyle w:val="Heading2"/>
      </w:pPr>
      <w:r>
        <w:t xml:space="preserve">Extended Data figure legends</w:t>
      </w:r>
    </w:p>
    <w:p>
      <w:pPr>
        <w:pStyle w:val="FirstParagraph"/>
      </w:pPr>
      <w:r>
        <w:rPr>
          <w:b/>
          <w:bCs/>
        </w:rPr>
        <w:t xml:space="preserve">ED 1 | Data-driven trait axes retained as a check on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 priori</w:t>
      </w:r>
      <w:r>
        <w:rPr>
          <w:b/>
          <w:bCs/>
        </w:rPr>
        <w:t xml:space="preserve"> </w:t>
      </w:r>
      <w:r>
        <w:rPr>
          <w:b/>
          <w:bCs/>
        </w:rPr>
        <w:t xml:space="preserve">axes.</w:t>
      </w:r>
      <w:r>
        <w:t xml:space="preserve"> </w:t>
      </w:r>
      <w:r>
        <w:t xml:space="preserve">Free</w:t>
      </w:r>
      <w:r>
        <w:t xml:space="preserve"> </w:t>
      </w:r>
      <w:r>
        <w:t xml:space="preserve">within-class principal components, shown to document how far the leading data-driven axis</w:t>
      </w:r>
      <w:r>
        <w:t xml:space="preserve"> </w:t>
      </w:r>
      <w:r>
        <w:t xml:space="preserve">differs in meaning between classes, which is the reason the main analysis fixes the axes</w:t>
      </w:r>
      <w:r>
        <w:t xml:space="preserve"> </w:t>
      </w:r>
      <w:r>
        <w:rPr>
          <w:i/>
          <w:iCs/>
        </w:rPr>
        <w:t xml:space="preserve">a priori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ED 2 | Occurrence records versus expert range maps.</w:t>
      </w:r>
      <w:r>
        <w:t xml:space="preserve"> </w:t>
      </w:r>
      <w:r>
        <w:t xml:space="preserve">Chao sample coverage per cell from</w:t>
      </w:r>
      <w:r>
        <w:t xml:space="preserve"> </w:t>
      </w:r>
      <w:r>
        <w:t xml:space="preserve">GBIF/eBird records; richness from occurrences against richness from range maps; and the</w:t>
      </w:r>
      <w:r>
        <w:t xml:space="preserve"> </w:t>
      </w:r>
      <w:r>
        <w:t xml:space="preserve">standardised effect of human pressure on assemblage metrics fitted to range-map assemblages,</w:t>
      </w:r>
      <w:r>
        <w:t xml:space="preserve"> </w:t>
      </w:r>
      <w:r>
        <w:t xml:space="preserve">occurrence assemblages, and occurrence assemblages with coverage as a covariate.</w:t>
      </w:r>
    </w:p>
    <w:p>
      <w:pPr>
        <w:pStyle w:val="BodyText"/>
      </w:pPr>
      <w:r>
        <w:rPr>
          <w:b/>
          <w:bCs/>
        </w:rPr>
        <w:t xml:space="preserve">ED 3 | Occurrence-based assemblages for all four classes.</w:t>
      </w:r>
      <w:r>
        <w:t xml:space="preserve"> </w:t>
      </w:r>
      <w:r>
        <w:t xml:space="preserve">Chao coverage per class, and</w:t>
      </w:r>
      <w:r>
        <w:t xml:space="preserve"> </w:t>
      </w:r>
      <w:r>
        <w:t xml:space="preserve">the human-pressure effect under four settings, including the decisive</w:t>
      </w:r>
      <w:r>
        <w:t xml:space="preserve"> </w:t>
      </w:r>
      <w:r>
        <w:t xml:space="preserve">“range map, same cells”</w:t>
      </w:r>
      <w:r>
        <w:t xml:space="preserve"> </w:t>
      </w:r>
      <w:r>
        <w:t xml:space="preserve">control that separates a data-source effect from a cell-selection effect.</w:t>
      </w:r>
    </w:p>
    <w:p>
      <w:pPr>
        <w:pStyle w:val="BodyText"/>
      </w:pPr>
      <w:r>
        <w:rPr>
          <w:b/>
          <w:bCs/>
        </w:rPr>
        <w:t xml:space="preserve">ED 4 | Trait coverage and imputation.</w:t>
      </w:r>
      <w:r>
        <w:t xml:space="preserve"> </w:t>
      </w:r>
      <w:r>
        <w:rPr>
          <w:b/>
          <w:bCs/>
        </w:rPr>
        <w:t xml:space="preserve">a</w:t>
      </w:r>
      <w:r>
        <w:t xml:space="preserve">, Observed coverage of each core and extended</w:t>
      </w:r>
      <w:r>
        <w:t xml:space="preserve"> </w:t>
      </w:r>
      <w:r>
        <w:t xml:space="preserve">trait before imputation.</w:t>
      </w:r>
      <w:r>
        <w:t xml:space="preserve"> </w:t>
      </w:r>
      <w:r>
        <w:rPr>
          <w:b/>
          <w:bCs/>
        </w:rPr>
        <w:t xml:space="preserve">b</w:t>
      </w:r>
      <w:r>
        <w:t xml:space="preserve">, Assignment of traits to the core set (complete in all four</w:t>
      </w:r>
      <w:r>
        <w:t xml:space="preserve"> </w:t>
      </w:r>
      <w:r>
        <w:t xml:space="preserve">classes), the extended set (birds, mammals and reptiles only) and the excluded set</w:t>
      </w:r>
      <w:r>
        <w:t xml:space="preserve"> </w:t>
      </w:r>
      <w:r>
        <w:t xml:space="preserve">(data-deficient).</w:t>
      </w:r>
      <w:r>
        <w:t xml:space="preserve"> </w:t>
      </w:r>
      <w:r>
        <w:rPr>
          <w:b/>
          <w:bCs/>
        </w:rPr>
        <w:t xml:space="preserve">c</w:t>
      </w:r>
      <w:r>
        <w:t xml:space="preserve">, Values already imputed upstream by TetrapodTraits, using the flags</w:t>
      </w:r>
      <w:r>
        <w:t xml:space="preserve"> </w:t>
      </w:r>
      <w:r>
        <w:t xml:space="preserve">supplied there — including the 74.7% of amphibian body masses derived allometrically.</w:t>
      </w:r>
      <w:r>
        <w:t xml:space="preserve"> </w:t>
      </w:r>
      <w:r>
        <w:rPr>
          <w:b/>
          <w:bCs/>
        </w:rPr>
        <w:t xml:space="preserve">d</w:t>
      </w:r>
      <w:r>
        <w:t xml:space="preserve">, Out-of-bag error of the missForest imputation, which included the ten leading</w:t>
      </w:r>
      <w:r>
        <w:t xml:space="preserve"> </w:t>
      </w:r>
      <w:r>
        <w:t xml:space="preserve">phylogenetic eigenvectors as predictors.</w:t>
      </w:r>
    </w:p>
    <w:p>
      <w:pPr>
        <w:pStyle w:val="BodyText"/>
      </w:pPr>
      <w:r>
        <w:rPr>
          <w:b/>
          <w:bCs/>
        </w:rPr>
        <w:t xml:space="preserve">ED 5 | Sexual size dimorphism across assemblages.</w:t>
      </w:r>
      <w:r>
        <w:t xml:space="preserve"> </w:t>
      </w:r>
      <w:r>
        <w:t xml:space="preserve">Species-level dimorphism from the</w:t>
      </w:r>
      <w:r>
        <w:t xml:space="preserve"> </w:t>
      </w:r>
      <w:r>
        <w:t xml:space="preserve">Chinese trait compilations, and its assemblage-level geography. Reptile dimorphism comes</w:t>
      </w:r>
      <w:r>
        <w:t xml:space="preserve"> </w:t>
      </w:r>
      <w:r>
        <w:t xml:space="preserve">entirely from the snake dataset — the lizard compilation does not separate the sexes — and is</w:t>
      </w:r>
      <w:r>
        <w:t xml:space="preserve"> </w:t>
      </w:r>
      <w:r>
        <w:t xml:space="preserve">labelled as snakes rather than reptiles throughout.</w:t>
      </w:r>
    </w:p>
    <w:p>
      <w:pPr>
        <w:pStyle w:val="BodyText"/>
      </w:pPr>
      <w:r>
        <w:rPr>
          <w:b/>
          <w:bCs/>
        </w:rPr>
        <w:t xml:space="preserve">ED 6 | Trait space and its principal coordinates.</w:t>
      </w:r>
      <w:r>
        <w:t xml:space="preserve"> </w:t>
      </w:r>
      <w:r>
        <w:t xml:space="preserve">Principal-coordinate ordination of the</w:t>
      </w:r>
      <w:r>
        <w:t xml:space="preserve"> </w:t>
      </w:r>
      <w:r>
        <w:t xml:space="preserve">Gower distance among the core traits, one panel per class. Arrows are trait–axis correlations;</w:t>
      </w:r>
      <w:r>
        <w:t xml:space="preserve"> </w:t>
      </w:r>
      <w:r>
        <w:t xml:space="preserve">percentages are variance explained.</w:t>
      </w:r>
    </w:p>
    <w:p>
      <w:pPr>
        <w:pStyle w:val="BodyText"/>
      </w:pPr>
      <w:r>
        <w:rPr>
          <w:b/>
          <w:bCs/>
        </w:rPr>
        <w:t xml:space="preserve">ED 7 | Null-model behaviour under occupancy weighting.</w:t>
      </w:r>
      <w:r>
        <w:t xml:space="preserve"> </w:t>
      </w:r>
      <w:r>
        <w:t xml:space="preserve">Standardised effect size against</w:t>
      </w:r>
      <w:r>
        <w:t xml:space="preserve"> </w:t>
      </w:r>
      <w:r>
        <w:t xml:space="preserve">species richness — a flat relationship indicates the richness-constrained null has removed</w:t>
      </w:r>
      <w:r>
        <w:t xml:space="preserve"> </w:t>
      </w:r>
      <w:r>
        <w:t xml:space="preserve">the metric’s mechanical dependence on richness — with observed values for comparison. Species</w:t>
      </w:r>
      <w:r>
        <w:t xml:space="preserve"> </w:t>
      </w:r>
      <w:r>
        <w:t xml:space="preserve">are drawn with probability proportional to occupancy rather than equiprobably; the</w:t>
      </w:r>
      <w:r>
        <w:t xml:space="preserve"> </w:t>
      </w:r>
      <w:r>
        <w:t xml:space="preserve">equiprobable null treats narrow endemics and widespread species as exchangeable and</w:t>
      </w:r>
      <w:r>
        <w:t xml:space="preserve"> </w:t>
      </w:r>
      <w:r>
        <w:t xml:space="preserve">manufactures apparent trait clustering in endemic-rich taxa. Moving to occupancy weighting</w:t>
      </w:r>
      <w:r>
        <w:t xml:space="preserve"> </w:t>
      </w:r>
      <w:r>
        <w:t xml:space="preserve">changed the amphibian standardised effect from +1.70 to +0.08 and removed an apparent</w:t>
      </w:r>
      <w:r>
        <w:t xml:space="preserve"> </w:t>
      </w:r>
      <w:r>
        <w:t xml:space="preserve">over-dispersion signal.</w:t>
      </w:r>
    </w:p>
    <w:p>
      <w:pPr>
        <w:pStyle w:val="BodyText"/>
      </w:pPr>
      <w:r>
        <w:rPr>
          <w:b/>
          <w:bCs/>
        </w:rPr>
        <w:t xml:space="preserve">ED 8 | Standardised effect sizes of functional diversity.</w:t>
      </w:r>
      <w:r>
        <w:t xml:space="preserve"> </w:t>
      </w:r>
      <w:r>
        <w:t xml:space="preserve">Functional dispersion relative</w:t>
      </w:r>
      <w:r>
        <w:t xml:space="preserve"> </w:t>
      </w:r>
      <w:r>
        <w:t xml:space="preserve">to the occupancy-weighted null for each class, and its response to mean annual temperature and</w:t>
      </w:r>
      <w:r>
        <w:t xml:space="preserve"> </w:t>
      </w:r>
      <w:r>
        <w:t xml:space="preserve">to human footprint.</w:t>
      </w:r>
    </w:p>
    <w:p>
      <w:pPr>
        <w:pStyle w:val="BodyText"/>
      </w:pPr>
      <w:r>
        <w:rPr>
          <w:b/>
          <w:bCs/>
        </w:rPr>
        <w:t xml:space="preserve">ED 9 | Geography of assemblage trait variance.</w:t>
      </w:r>
      <w:r>
        <w:t xml:space="preserve"> </w:t>
      </w:r>
      <w:r>
        <w:t xml:space="preserve">Standardised effect of community-weighted</w:t>
      </w:r>
      <w:r>
        <w:t xml:space="preserve"> </w:t>
      </w:r>
      <w:r>
        <w:t xml:space="preserve">trait</w:t>
      </w:r>
      <w:r>
        <w:t xml:space="preserve"> </w:t>
      </w:r>
      <w:r>
        <w:rPr>
          <w:i/>
          <w:iCs/>
        </w:rPr>
        <w:t xml:space="preserve">variance</w:t>
      </w:r>
      <w:r>
        <w:t xml:space="preserve">, the correlation between the mean’s and the variance’s effect sizes for each</w:t>
      </w:r>
      <w:r>
        <w:t xml:space="preserve"> </w:t>
      </w:r>
      <w:r>
        <w:t xml:space="preserve">trait, and a filtering-regime map classifying cells by the signs of both.</w:t>
      </w:r>
    </w:p>
    <w:p>
      <w:pPr>
        <w:pStyle w:val="BodyText"/>
      </w:pPr>
      <w:r>
        <w:rPr>
          <w:b/>
          <w:bCs/>
        </w:rPr>
        <w:t xml:space="preserve">ED 10 | Spatial model diagnostics.</w:t>
      </w:r>
      <w:r>
        <w:t xml:space="preserve"> </w:t>
      </w:r>
      <w:r>
        <w:t xml:space="preserve">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of ordinary-least-squares residuals (0.65–0.89</w:t>
      </w:r>
      <w:r>
        <w:t xml:space="preserve"> </w:t>
      </w:r>
      <w:r>
        <w:t xml:space="preserve">across the 36 main models,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 in every one, which is why spatial models are</w:t>
      </w:r>
      <w:r>
        <w:t xml:space="preserve"> </w:t>
      </w:r>
      <w:r>
        <w:t xml:space="preserve">required; Supplementary Table 6); the fitted</w:t>
      </w:r>
      <w:r>
        <w:t xml:space="preserve"> </w:t>
      </w:r>
      <w:r>
        <w:t xml:space="preserve">autoregressive parameter λ; and the AIC improvement over ordinary least squares. Residual</w:t>
      </w:r>
      <w:r>
        <w:t xml:space="preserve"> </w:t>
      </w:r>
      <w:r>
        <w:t xml:space="preserve">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after correction falls to −0.055 to 0.016.</w:t>
      </w:r>
    </w:p>
    <w:p>
      <w:pPr>
        <w:pStyle w:val="BodyText"/>
      </w:pPr>
      <w:r>
        <w:rPr>
          <w:b/>
          <w:bCs/>
        </w:rPr>
        <w:t xml:space="preserve">ED 11 | Full trait-by-predictor effect matrix.</w:t>
      </w:r>
      <w:r>
        <w:t xml:space="preserve"> </w:t>
      </w:r>
      <w:r>
        <w:t xml:space="preserve">Standardised effects of every predictor on</w:t>
      </w:r>
      <w:r>
        <w:t xml:space="preserve"> </w:t>
      </w:r>
      <w:r>
        <w:t xml:space="preserve">every moment (mean, variance, skewness, kurtosis) of every analysed trait, by class. Dots mark</w:t>
      </w:r>
      <w:r>
        <w:t xml:space="preserve"> </w:t>
      </w:r>
      <w:r>
        <w:t xml:space="preserve">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</w:p>
    <w:p>
      <w:pPr>
        <w:pStyle w:val="BodyText"/>
      </w:pPr>
      <w:r>
        <w:rPr>
          <w:b/>
          <w:bCs/>
        </w:rPr>
        <w:t xml:space="preserve">ED 12 | Type I error inflation of naive CWM regression.</w:t>
      </w:r>
      <w:r>
        <w:t xml:space="preserve"> </w:t>
      </w:r>
      <w:r>
        <w:t xml:space="preserve">Fourth-corner statistics by class;</w:t>
      </w:r>
      <w:r>
        <w:t xml:space="preserve"> </w:t>
      </w:r>
      <w:r>
        <w:t xml:space="preserve">naive against max-test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values, where points in the lower-right quadrant are links the</w:t>
      </w:r>
      <w:r>
        <w:t xml:space="preserve"> </w:t>
      </w:r>
      <w:r>
        <w:t xml:space="preserve">naive test calls significant and the valid test does not; and the resulting inflation ratio.</w:t>
      </w:r>
    </w:p>
    <w:p>
      <w:pPr>
        <w:pStyle w:val="BodyText"/>
      </w:pPr>
      <w:r>
        <w:rPr>
          <w:b/>
          <w:bCs/>
        </w:rPr>
        <w:t xml:space="preserve">ED 13 | Environmental predictors and their axes.</w:t>
      </w:r>
      <w:r>
        <w:t xml:space="preserve"> </w:t>
      </w:r>
      <w:r>
        <w:t xml:space="preserve">Loadings of individual variables on each</w:t>
      </w:r>
      <w:r>
        <w:t xml:space="preserve"> </w:t>
      </w:r>
      <w:r>
        <w:t xml:space="preserve">ecological axis, the spatial pattern of each axis on the 50-km grid, and the correlations</w:t>
      </w:r>
      <w:r>
        <w:t xml:space="preserve"> </w:t>
      </w:r>
      <w:r>
        <w:t xml:space="preserve">among axes confirming that axis construction removed the collinearity present among the raw</w:t>
      </w:r>
      <w:r>
        <w:t xml:space="preserve"> </w:t>
      </w:r>
      <w:r>
        <w:t xml:space="preserve">variables.</w:t>
      </w:r>
    </w:p>
    <w:p>
      <w:pPr>
        <w:pStyle w:val="BodyText"/>
      </w:pPr>
      <w:r>
        <w:rPr>
          <w:b/>
          <w:bCs/>
        </w:rPr>
        <w:t xml:space="preserve">ED 14 | Robustness to grain: 100 km results.</w:t>
      </w:r>
      <w:r>
        <w:t xml:space="preserve"> </w:t>
      </w:r>
      <w:r>
        <w:t xml:space="preserve">The main assemblage results replicated on the</w:t>
      </w:r>
      <w:r>
        <w:t xml:space="preserve"> </w:t>
      </w:r>
      <w:r>
        <w:t xml:space="preserve">100-km grid, with a cell-wise comparison between grains exploiting the exact nesting of the</w:t>
      </w:r>
      <w:r>
        <w:t xml:space="preserve"> </w:t>
      </w:r>
      <w:r>
        <w:t xml:space="preserve">50-km grid within the 100-km grid.</w:t>
      </w:r>
    </w:p>
    <w:p>
      <w:pPr>
        <w:pStyle w:val="BodyText"/>
      </w:pPr>
      <w:r>
        <w:rPr>
          <w:b/>
          <w:bCs/>
        </w:rPr>
        <w:t xml:space="preserve">ED 15 | Additional robustness checks.</w:t>
      </w:r>
      <w:r>
        <w:t xml:space="preserve"> </w:t>
      </w:r>
      <w:r>
        <w:t xml:space="preserve">Ectotherm-to-endotherm coupling ratio when each class</w:t>
      </w:r>
      <w:r>
        <w:t xml:space="preserve"> </w:t>
      </w:r>
      <w:r>
        <w:t xml:space="preserve">is dropped in turn; mean standardised effect computed from all species against only those with</w:t>
      </w:r>
      <w:r>
        <w:t xml:space="preserve"> </w:t>
      </w:r>
      <w:r>
        <w:t xml:space="preserve">fully observed core traits; and the percentage of species per class with fully observed traits.</w:t>
      </w:r>
    </w:p>
    <w:p>
      <w:pPr>
        <w:pStyle w:val="BodyText"/>
      </w:pPr>
      <w:r>
        <w:rPr>
          <w:b/>
          <w:bCs/>
        </w:rPr>
        <w:t xml:space="preserve">ED 16 | Which trait is most strongly filtered, mapped.</w:t>
      </w:r>
      <w:r>
        <w:t xml:space="preserve"> </w:t>
      </w:r>
      <w:r>
        <w:t xml:space="preserve">For each cell, the core trait with</w:t>
      </w:r>
      <w:r>
        <w:t xml:space="preserve"> </w:t>
      </w:r>
      <w:r>
        <w:t xml:space="preserve">the largest absolute standardised effect of its community-weighted mean; the composition of</w:t>
      </w:r>
      <w:r>
        <w:t xml:space="preserve"> </w:t>
      </w:r>
      <w:r>
        <w:t xml:space="preserve">dominant traits overall; and the same composition within deciles of the thermal-energy axis.</w:t>
      </w:r>
    </w:p>
    <w:p>
      <w:pPr>
        <w:pStyle w:val="BodyText"/>
      </w:pPr>
      <w:r>
        <w:rPr>
          <w:b/>
          <w:bCs/>
        </w:rPr>
        <w:t xml:space="preserve">ED 17 | The anthropogenic filter on assemblage traits.</w:t>
      </w:r>
      <w:r>
        <w:t xml:space="preserve"> </w:t>
      </w:r>
      <w:r>
        <w:t xml:space="preserve">Human Footprint on the 50-km grid,</w:t>
      </w:r>
      <w:r>
        <w:t xml:space="preserve"> </w:t>
      </w:r>
      <w:r>
        <w:t xml:space="preserve">and the community-weighted mean, variance and skewness of body size along that gradient, by</w:t>
      </w:r>
      <w:r>
        <w:t xml:space="preserve"> </w:t>
      </w:r>
      <w:r>
        <w:t xml:space="preserve">class.</w:t>
      </w:r>
    </w:p>
    <w:p>
      <w:pPr>
        <w:pStyle w:val="BodyText"/>
      </w:pPr>
      <w:r>
        <w:rPr>
          <w:b/>
          <w:bCs/>
        </w:rPr>
        <w:t xml:space="preserve">ED 18 | Three ways of measuring habitat heterogeneity, and the dose–response with thermal</w:t>
      </w:r>
      <w:r>
        <w:rPr>
          <w:b/>
          <w:bCs/>
        </w:rPr>
        <w:t xml:space="preserve"> </w:t>
      </w:r>
      <w:r>
        <w:rPr>
          <w:b/>
          <w:bCs/>
        </w:rPr>
        <w:t xml:space="preserve">content.</w:t>
      </w:r>
      <w:r>
        <w:t xml:space="preserve"> </w:t>
      </w:r>
      <w:r>
        <w:rPr>
          <w:b/>
          <w:bCs/>
        </w:rPr>
        <w:t xml:space="preserve">a</w:t>
      </w:r>
      <w:r>
        <w:t xml:space="preserve">, Ectotherm/endotherm effect ratio for ambient energy and for habitat</w:t>
      </w:r>
      <w:r>
        <w:t xml:space="preserve"> </w:t>
      </w:r>
      <w:r>
        <w:t xml:space="preserve">heterogeneity under three heterogeneity proxies (topographic elevation range, land-cover type</w:t>
      </w:r>
      <w:r>
        <w:t xml:space="preserve"> </w:t>
      </w:r>
      <w:r>
        <w:t xml:space="preserve">diversity, EarthEnv remote-sensing texture). The energy ratio is stable at 1.98–2.63; the</w:t>
      </w:r>
      <w:r>
        <w:t xml:space="preserve"> </w:t>
      </w:r>
      <w:r>
        <w:t xml:space="preserve">heterogeneity ratio is unstable and straddles 1. Bars are 95% bootstrap intervals over</w:t>
      </w:r>
      <w:r>
        <w:t xml:space="preserve"> </w:t>
      </w:r>
      <w:r>
        <w:t xml:space="preserve">class × response fits.</w:t>
      </w:r>
      <w:r>
        <w:t xml:space="preserve"> </w:t>
      </w:r>
      <w:r>
        <w:rPr>
          <w:b/>
          <w:bCs/>
        </w:rPr>
        <w:t xml:space="preserve">b</w:t>
      </w:r>
      <w:r>
        <w:t xml:space="preserve">, Correlations among the three proxies.</w:t>
      </w:r>
      <w:r>
        <w:t xml:space="preserve"> </w:t>
      </w:r>
      <w:r>
        <w:rPr>
          <w:b/>
          <w:bCs/>
        </w:rPr>
        <w:t xml:space="preserve">c</w:t>
      </w:r>
      <w:r>
        <w:t xml:space="preserve">, The replacement</w:t>
      </w:r>
      <w:r>
        <w:t xml:space="preserve"> </w:t>
      </w:r>
      <w:r>
        <w:t xml:space="preserve">test: the ectotherm excess plotted against how much temperature information each predictor</w:t>
      </w:r>
      <w:r>
        <w:t xml:space="preserve"> </w:t>
      </w:r>
      <w:r>
        <w:t xml:space="preserve">carries (|Spearman</w:t>
      </w:r>
      <w:r>
        <w:t xml:space="preserve"> </w:t>
      </w:r>
      <w:r>
        <w:rPr>
          <w:i/>
          <w:iCs/>
        </w:rPr>
        <w:t xml:space="preserve">r</w:t>
      </w:r>
      <w:r>
        <w:t xml:space="preserve">| with mean annual temperature) across eight predictors.</w:t>
      </w:r>
      <w:r>
        <w:t xml:space="preserve"> </w:t>
      </w:r>
      <w:r>
        <w:t xml:space="preserve">Spearman 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0.037. The single heterogeneity proxy that shows an ectotherm excess</w:t>
      </w:r>
      <w:r>
        <w:t xml:space="preserve"> </w:t>
      </w:r>
      <w:r>
        <w:t xml:space="preserve">is the one most strongly correlated with temperature — it is a disguised thermal variable,</w:t>
      </w:r>
      <w:r>
        <w:t xml:space="preserve"> </w:t>
      </w:r>
      <w:r>
        <w:t xml:space="preserve">which is why the single negative control failed and was replaced by a trend test.</w:t>
      </w:r>
    </w:p>
    <w:p>
      <w:pPr>
        <w:pStyle w:val="BodyText"/>
      </w:pPr>
      <w:r>
        <w:rPr>
          <w:b/>
          <w:bCs/>
        </w:rPr>
        <w:t xml:space="preserve">ED 19 | Which families enter the clade-level test, and how the threshold changes it.</w:t>
      </w:r>
      <w:r>
        <w:t xml:space="preserve"> </w:t>
      </w:r>
      <w:r>
        <w:t xml:space="preserve">Family inclusion under three threshold pairs and the resulting ectotherm/endotherm ratio:</w:t>
      </w:r>
      <w:r>
        <w:t xml:space="preserve"> </w:t>
      </w:r>
      <w:r>
        <w:t xml:space="preserve">1.79× at the main threshold (</w:t>
      </w:r>
      <w:r>
        <w:rPr>
          <w:i/>
          <w:iCs/>
        </w:rPr>
        <w:t xml:space="preserve">P</w:t>
      </w:r>
      <w:r>
        <w:t xml:space="preserve"> </w:t>
      </w:r>
      <w:r>
        <w:t xml:space="preserve">= 0.017), 1.71× at ≥30 species (</w:t>
      </w:r>
      <w:r>
        <w:rPr>
          <w:i/>
          <w:iCs/>
        </w:rPr>
        <w:t xml:space="preserve">P</w:t>
      </w:r>
      <w:r>
        <w:t xml:space="preserve"> </w:t>
      </w:r>
      <w:r>
        <w:t xml:space="preserve">= 0.049), and 1.33× and</w:t>
      </w:r>
      <w:r>
        <w:t xml:space="preserve"> </w:t>
      </w:r>
      <w:r>
        <w:t xml:space="preserve">non-significant at ≥10 species (</w:t>
      </w:r>
      <w:r>
        <w:rPr>
          <w:i/>
          <w:iCs/>
        </w:rPr>
        <w:t xml:space="preserve">P</w:t>
      </w:r>
      <w:r>
        <w:t xml:space="preserve"> </w:t>
      </w:r>
      <w:r>
        <w:t xml:space="preserve">= 0.23), where 14 additional small families with noisier</w:t>
      </w:r>
      <w:r>
        <w:t xml:space="preserve"> </w:t>
      </w:r>
      <w:r>
        <w:t xml:space="preserve">coupling estimates enter.</w:t>
      </w:r>
    </w:p>
    <w:p>
      <w:pPr>
        <w:pStyle w:val="BodyText"/>
      </w:pPr>
      <w:r>
        <w:rPr>
          <w:b/>
          <w:bCs/>
        </w:rPr>
        <w:t xml:space="preserve">ED 20 | Functional-diversity indices and unconstrained NMDS ordination.</w:t>
      </w:r>
      <w:r>
        <w:t xml:space="preserve"> </w:t>
      </w:r>
      <w:r>
        <w:t xml:space="preserve">Functional</w:t>
      </w:r>
      <w:r>
        <w:t xml:space="preserve"> </w:t>
      </w:r>
      <w:r>
        <w:t xml:space="preserve">evenness, dispersion and Rao’s quadratic entropy against the same six hypotheses, showing that</w:t>
      </w:r>
      <w:r>
        <w:t xml:space="preserve"> </w:t>
      </w:r>
      <w:r>
        <w:t xml:space="preserve">the sign of the effect is consistent across indices; and non-metric multidimensional scaling</w:t>
      </w:r>
      <w:r>
        <w:t xml:space="preserve"> </w:t>
      </w:r>
      <w:r>
        <w:t xml:space="preserve">of assemblage trait composition with environmental vectors fitted afterwards. Functional</w:t>
      </w:r>
      <w:r>
        <w:t xml:space="preserve"> </w:t>
      </w:r>
      <w:r>
        <w:t xml:space="preserve">richness is not shown: the convex-hull computation does not scale to the species numbers here.</w:t>
      </w:r>
    </w:p>
    <w:p>
      <w:pPr>
        <w:pStyle w:val="BodyText"/>
      </w:pPr>
      <w:r>
        <w:rPr>
          <w:b/>
          <w:bCs/>
        </w:rPr>
        <w:t xml:space="preserve">ED 21 | Grain sensitivity and cross-class congruence.</w:t>
      </w:r>
      <w:r>
        <w:t xml:space="preserve"> </w:t>
      </w:r>
      <w:r>
        <w:t xml:space="preserve">Distribution of standardised effect</w:t>
      </w:r>
      <w:r>
        <w:t xml:space="preserve"> </w:t>
      </w:r>
      <w:r>
        <w:t xml:space="preserve">sizes at 50 and 100 km, and the cross-class correlations of functional dispersion. Congruence</w:t>
      </w:r>
      <w:r>
        <w:t xml:space="preserve"> </w:t>
      </w:r>
      <w:r>
        <w:t xml:space="preserve">is highest between the two endotherm classes.</w:t>
      </w:r>
    </w:p>
    <w:p>
      <w:pPr>
        <w:pStyle w:val="BodyText"/>
      </w:pPr>
      <w:r>
        <w:rPr>
          <w:b/>
          <w:bCs/>
        </w:rPr>
        <w:t xml:space="preserve">ED 22 | Functional beta diversity and its turnover component.</w:t>
      </w:r>
      <w:r>
        <w:t xml:space="preserve"> </w:t>
      </w:r>
      <w:r>
        <w:t xml:space="preserve">Sørensen beta diversity</w:t>
      </w:r>
      <w:r>
        <w:t xml:space="preserve"> </w:t>
      </w:r>
      <w:r>
        <w:t xml:space="preserve">between adjacent cell pairs, decomposed following Baselga, computed for species and for</w:t>
      </w:r>
      <w:r>
        <w:t xml:space="preserve"> </w:t>
      </w:r>
      <w:r>
        <w:t xml:space="preserve">functional groups; functional against taxonomic beta diversity, whose vertical distance below</w:t>
      </w:r>
      <w:r>
        <w:t xml:space="preserve"> </w:t>
      </w:r>
      <w:r>
        <w:t xml:space="preserve">the 1:1 line is functional redundancy; and the share of beta diversity attributable to</w:t>
      </w:r>
      <w:r>
        <w:t xml:space="preserve"> </w:t>
      </w:r>
      <w:r>
        <w:t xml:space="preserve">turnover rather than nestedness.</w:t>
      </w:r>
    </w:p>
    <w:p>
      <w:pPr>
        <w:pStyle w:val="BodyText"/>
      </w:pPr>
      <w:r>
        <w:rPr>
          <w:b/>
          <w:bCs/>
        </w:rPr>
        <w:t xml:space="preserve">ED 23 | Conservation gaps and reserve representation.</w:t>
      </w:r>
      <w:r>
        <w:t xml:space="preserve"> </w:t>
      </w:r>
      <w:r>
        <w:t xml:space="preserve">Based on China’s 1,028 designated</w:t>
      </w:r>
      <w:r>
        <w:t xml:space="preserve"> </w:t>
      </w:r>
      <w:r>
        <w:t xml:space="preserve">nature reserves; other protected-area categories are excluded, so coverage is a lower bound.</w:t>
      </w:r>
      <w:r>
        <w:t xml:space="preserve"> </w:t>
      </w:r>
      <w:r>
        <w:t xml:space="preserve">Reserve coverage and distance to the nearest reserve; conservation-gap cells for each of the</w:t>
      </w:r>
      <w:r>
        <w:t xml:space="preserve"> </w:t>
      </w:r>
      <w:r>
        <w:t xml:space="preserve">four classes; the effect of assemblage trait volume on reserve coverage from spatial models</w:t>
      </w:r>
      <w:r>
        <w:t xml:space="preserve"> </w:t>
      </w:r>
      <w:r>
        <w:t xml:space="preserve">controlling the environmental axes; Jaccard overlap of gap cells between classes; and the</w:t>
      </w:r>
      <w:r>
        <w:t xml:space="preserve"> </w:t>
      </w:r>
      <w:r>
        <w:t xml:space="preserve">percentage of reserves whose designation record names each class as a protection target</w:t>
      </w:r>
      <w:r>
        <w:t xml:space="preserve"> </w:t>
      </w:r>
      <w:r>
        <w:t xml:space="preserve">(mammals 17.9%, birds 12.8%, amphibians 3.2%, reptiles 1.1%).</w:t>
      </w:r>
    </w:p>
    <w:p>
      <w:pPr>
        <w:pStyle w:val="BodyText"/>
      </w:pPr>
      <w:r>
        <w:rPr>
          <w:b/>
          <w:bCs/>
        </w:rPr>
        <w:t xml:space="preserve">ED 24 | Land-use tolerance: which traits tolerate modification, and are they the protected</w:t>
      </w:r>
      <w:r>
        <w:rPr>
          <w:b/>
          <w:bCs/>
        </w:rPr>
        <w:t xml:space="preserve"> </w:t>
      </w:r>
      <w:r>
        <w:rPr>
          <w:b/>
          <w:bCs/>
        </w:rPr>
        <w:t xml:space="preserve">ones.</w:t>
      </w:r>
      <w:r>
        <w:t xml:space="preserve"> </w:t>
      </w:r>
      <w:r>
        <w:t xml:space="preserve">Species-level tolerance of artificial habitat against the three functional axes;</w:t>
      </w:r>
      <w:r>
        <w:t xml:space="preserve"> </w:t>
      </w:r>
      <w:r>
        <w:t xml:space="preserve">assemblage-mean tolerance against human footprint; and protected fraction against tolerance.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ED 25 | Geographically weighted trait–environment coupling.</w:t>
      </w:r>
      <w:r>
        <w:t xml:space="preserve"> </w:t>
      </w:r>
      <w:r>
        <w:t xml:space="preserve">Local coupling estimated in a</w:t>
      </w:r>
      <w:r>
        <w:t xml:space="preserve"> </w:t>
      </w:r>
      <w:r>
        <w:t xml:space="preserve">moving window of the 200 nearest cells, its difference between reptiles and the endotherm</w:t>
      </w:r>
      <w:r>
        <w:t xml:space="preserve"> </w:t>
      </w:r>
      <w:r>
        <w:t xml:space="preserve">mean, and a diagnostic of local coupling against cell richness.</w:t>
      </w:r>
    </w:p>
    <w:p>
      <w:pPr>
        <w:pStyle w:val="BlockText"/>
      </w:pPr>
      <w:r>
        <w:t xml:space="preserve">These local estimates must not be read against Fig. 5. The family-level analysis is free of</w:t>
      </w:r>
      <w:r>
        <w:t xml:space="preserve"> </w:t>
      </w:r>
      <w:r>
        <w:t xml:space="preserve">the attenuation shown in the diagnostic panel; the local estimates are not. The maps are</w:t>
      </w:r>
      <w:r>
        <w:t xml:space="preserve"> </w:t>
      </w:r>
      <w:r>
        <w:t xml:space="preserve">reported as a description of spatial heterogeneity, the diagnostic as a methodological</w:t>
      </w:r>
      <w:r>
        <w:t xml:space="preserve"> </w:t>
      </w:r>
      <w:r>
        <w:t xml:space="preserve">caution, not as a biological contrast.</w:t>
      </w:r>
    </w:p>
    <w:bookmarkEnd w:id="55"/>
    <w:bookmarkStart w:id="5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Angilletta, M.J. (2009)</w:t>
      </w:r>
      <w:r>
        <w:t xml:space="preserve"> </w:t>
      </w:r>
      <w:r>
        <w:rPr>
          <w:i/>
          <w:iCs/>
        </w:rPr>
        <w:t xml:space="preserve">Thermal Adaptation: A Theoretical and Empirical</w:t>
      </w:r>
      <w:r>
        <w:rPr>
          <w:i/>
          <w:iCs/>
        </w:rPr>
        <w:t xml:space="preserve"> </w:t>
      </w:r>
      <w:r>
        <w:rPr>
          <w:i/>
          <w:iCs/>
        </w:rPr>
        <w:t xml:space="preserve">Synthesis</w:t>
      </w:r>
      <w:r>
        <w:t xml:space="preserve">. Oxford University Press, Oxford.</w:t>
      </w:r>
    </w:p>
    <w:p>
      <w:pPr>
        <w:pStyle w:val="BodyText"/>
      </w:pPr>
      <w:r>
        <w:t xml:space="preserve">Araújo, M.B., Ferri-Yáñez, F., Bozinovic, F., Marquet, P.A., Valladares, F. &amp;</w:t>
      </w:r>
      <w:r>
        <w:t xml:space="preserve"> </w:t>
      </w:r>
      <w:r>
        <w:t xml:space="preserve">Chown, S.L. (2013) Heat freezes niche evolution.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16,</w:t>
      </w:r>
      <w:r>
        <w:t xml:space="preserve"> </w:t>
      </w:r>
      <w:r>
        <w:t xml:space="preserve">1206–1219.</w:t>
      </w:r>
    </w:p>
    <w:p>
      <w:pPr>
        <w:pStyle w:val="BodyText"/>
      </w:pPr>
      <w:r>
        <w:t xml:space="preserve">Baselga, A. (2010) Partitioning the turnover and nestedness components of beta</w:t>
      </w:r>
      <w:r>
        <w:t xml:space="preserve"> </w:t>
      </w:r>
      <w:r>
        <w:t xml:space="preserve">diversity.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19, 134–143.</w:t>
      </w:r>
    </w:p>
    <w:p>
      <w:pPr>
        <w:pStyle w:val="BodyText"/>
      </w:pPr>
      <w:r>
        <w:t xml:space="preserve">Bielby, J., Mace, G.M., Bininda-Emonds, O.R.P., Cardillo, M., Gittleman, J.L.,</w:t>
      </w:r>
      <w:r>
        <w:t xml:space="preserve"> </w:t>
      </w:r>
      <w:r>
        <w:t xml:space="preserve">Jones, K.E., Orme, C.D.L. &amp; Purvis, A. (2007) The fast–slow continuum in</w:t>
      </w:r>
      <w:r>
        <w:t xml:space="preserve"> </w:t>
      </w:r>
      <w:r>
        <w:t xml:space="preserve">mammalian life history: an empirical reevaluation.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 </w:t>
      </w:r>
      <w:r>
        <w:t xml:space="preserve">169, 748–757.</w:t>
      </w:r>
    </w:p>
    <w:p>
      <w:pPr>
        <w:pStyle w:val="BodyText"/>
      </w:pPr>
      <w:r>
        <w:t xml:space="preserve">BirdLife International &amp; Handbook of the Birds of the World (2022) Bird</w:t>
      </w:r>
      <w:r>
        <w:t xml:space="preserve"> </w:t>
      </w:r>
      <w:r>
        <w:t xml:space="preserve">species distribution maps of the world, version 2022.2. BirdLife</w:t>
      </w:r>
      <w:r>
        <w:t xml:space="preserve"> </w:t>
      </w:r>
      <w:r>
        <w:t xml:space="preserve">International, Cambridge.</w:t>
      </w:r>
    </w:p>
    <w:p>
      <w:pPr>
        <w:pStyle w:val="BodyText"/>
      </w:pPr>
      <w:r>
        <w:t xml:space="preserve">Böhm, M. et al. (2013) The conservation status of the world’s reptiles.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 </w:t>
      </w:r>
      <w:r>
        <w:t xml:space="preserve">157, 372–385.</w:t>
      </w:r>
    </w:p>
    <w:p>
      <w:pPr>
        <w:pStyle w:val="BodyText"/>
      </w:pPr>
      <w:r>
        <w:t xml:space="preserve">Botta-Dukát, Z. (2005) Rao’s quadratic entropy as a measure of functional</w:t>
      </w:r>
      <w:r>
        <w:t xml:space="preserve"> </w:t>
      </w:r>
      <w:r>
        <w:t xml:space="preserve">diversity based on multiple traits.</w:t>
      </w:r>
      <w:r>
        <w:t xml:space="preserve"> </w:t>
      </w:r>
      <w:r>
        <w:rPr>
          <w:i/>
          <w:iCs/>
        </w:rPr>
        <w:t xml:space="preserve">Journal of Vegetation Science</w:t>
      </w:r>
      <w:r>
        <w:t xml:space="preserve"> </w:t>
      </w:r>
      <w:r>
        <w:t xml:space="preserve">16,</w:t>
      </w:r>
      <w:r>
        <w:t xml:space="preserve"> </w:t>
      </w:r>
      <w:r>
        <w:t xml:space="preserve">533–540.</w:t>
      </w:r>
    </w:p>
    <w:p>
      <w:pPr>
        <w:pStyle w:val="BodyText"/>
      </w:pPr>
      <w:r>
        <w:t xml:space="preserve">Bruelheide, H. et al. (2018) Global trait–environment relationships of plant</w:t>
      </w:r>
      <w:r>
        <w:t xml:space="preserve"> </w:t>
      </w:r>
      <w:r>
        <w:t xml:space="preserve">communities.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2, 1906–1917.</w:t>
      </w:r>
    </w:p>
    <w:p>
      <w:pPr>
        <w:pStyle w:val="BodyText"/>
      </w:pPr>
      <w:r>
        <w:t xml:space="preserve">Brum, F.T., Graham, C.H., Costa, G.C., Hedges, S.B., Penone, C., Radeloff,</w:t>
      </w:r>
      <w:r>
        <w:t xml:space="preserve"> </w:t>
      </w:r>
      <w:r>
        <w:t xml:space="preserve">V.C., Rondinini, C., Loyola, R. &amp; Davidson, A.D. (2017) Global priorities for</w:t>
      </w:r>
      <w:r>
        <w:t xml:space="preserve"> </w:t>
      </w:r>
      <w:r>
        <w:t xml:space="preserve">conservation across multiple dimensions of mammalian diversity.</w:t>
      </w:r>
      <w:r>
        <w:t xml:space="preserve"> </w:t>
      </w:r>
      <w:r>
        <w:rPr>
          <w:i/>
          <w:iCs/>
        </w:rPr>
        <w:t xml:space="preserve">Proceedings</w:t>
      </w:r>
      <w:r>
        <w:rPr>
          <w:i/>
          <w:iCs/>
        </w:rPr>
        <w:t xml:space="preserve"> </w:t>
      </w:r>
      <w:r>
        <w:rPr>
          <w:i/>
          <w:iCs/>
        </w:rPr>
        <w:t xml:space="preserve">of the National Academy of Sciences USA</w:t>
      </w:r>
      <w:r>
        <w:t xml:space="preserve"> </w:t>
      </w:r>
      <w:r>
        <w:t xml:space="preserve">114, 7641–7646.</w:t>
      </w:r>
    </w:p>
    <w:p>
      <w:pPr>
        <w:pStyle w:val="BodyText"/>
      </w:pPr>
      <w:r>
        <w:t xml:space="preserve">Buckley, L.B., Hurlbert, A.H. &amp; Jetz, W. (2012) Broad-scale ecological</w:t>
      </w:r>
      <w:r>
        <w:t xml:space="preserve"> </w:t>
      </w:r>
      <w:r>
        <w:t xml:space="preserve">implications of ectothermy and endothermy in changing environments.</w:t>
      </w:r>
      <w:r>
        <w:t xml:space="preserve"> </w:t>
      </w:r>
      <w:r>
        <w:rPr>
          <w:i/>
          <w:iCs/>
        </w:rPr>
        <w:t xml:space="preserve">Global</w:t>
      </w:r>
      <w:r>
        <w:rPr>
          <w:i/>
          <w:iCs/>
        </w:rPr>
        <w:t xml:space="preserve"> </w:t>
      </w:r>
      <w:r>
        <w:rPr>
          <w:i/>
          <w:iCs/>
        </w:rPr>
        <w:t xml:space="preserve">Ecology and Biogeography</w:t>
      </w:r>
      <w:r>
        <w:t xml:space="preserve"> </w:t>
      </w:r>
      <w:r>
        <w:t xml:space="preserve">21, 873–885.</w:t>
      </w:r>
    </w:p>
    <w:p>
      <w:pPr>
        <w:pStyle w:val="BodyText"/>
      </w:pPr>
      <w:r>
        <w:t xml:space="preserve">Cadotte, M.W. &amp; Tucker, C.M. (2017) Should environmental filtering be</w:t>
      </w:r>
      <w:r>
        <w:t xml:space="preserve"> </w:t>
      </w:r>
      <w:r>
        <w:t xml:space="preserve">abandoned?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32, 429–437.</w:t>
      </w:r>
    </w:p>
    <w:p>
      <w:pPr>
        <w:pStyle w:val="BodyText"/>
      </w:pPr>
      <w:r>
        <w:t xml:space="preserve">Cardillo, M., Mace, G.M., Jones, K.E., Bielby, J., Bininda-Emonds, O.R.P.,</w:t>
      </w:r>
      <w:r>
        <w:t xml:space="preserve"> </w:t>
      </w:r>
      <w:r>
        <w:t xml:space="preserve">Sechrest, W., Orme, C.D.L. &amp; Purvis, A. (2005) Multiple causes of high</w:t>
      </w:r>
      <w:r>
        <w:t xml:space="preserve"> </w:t>
      </w:r>
      <w:r>
        <w:t xml:space="preserve">extinction risk in large mammal species.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309, 1239–1241.</w:t>
      </w:r>
    </w:p>
    <w:p>
      <w:pPr>
        <w:pStyle w:val="BodyText"/>
      </w:pPr>
      <w:r>
        <w:t xml:space="preserve">Carmona, C.P. et al. (2021) Erosion of global functional diversity across the</w:t>
      </w:r>
      <w:r>
        <w:t xml:space="preserve"> </w:t>
      </w:r>
      <w:r>
        <w:t xml:space="preserve">tree of life.</w:t>
      </w:r>
      <w:r>
        <w:t xml:space="preserve"> </w:t>
      </w:r>
      <w:r>
        <w:rPr>
          <w:i/>
          <w:iCs/>
        </w:rPr>
        <w:t xml:space="preserve">Science Advances</w:t>
      </w:r>
      <w:r>
        <w:t xml:space="preserve"> </w:t>
      </w:r>
      <w:r>
        <w:t xml:space="preserve">7, eabf2675.</w:t>
      </w:r>
    </w:p>
    <w:p>
      <w:pPr>
        <w:pStyle w:val="BodyText"/>
      </w:pPr>
      <w:r>
        <w:t xml:space="preserve">CBD (2022) Kunming–Montreal Global Biodiversity Framework. Decision</w:t>
      </w:r>
      <w:r>
        <w:t xml:space="preserve"> </w:t>
      </w:r>
      <w:r>
        <w:t xml:space="preserve">CBD/COP/DEC/15/4. Convention on Biological Diversity, Montreal.</w:t>
      </w:r>
    </w:p>
    <w:p>
      <w:pPr>
        <w:pStyle w:val="BodyText"/>
      </w:pPr>
      <w:r>
        <w:t xml:space="preserve">Chichorro, F., Juslén, A. &amp; Cardoso, P. (2019) A review of the relation</w:t>
      </w:r>
      <w:r>
        <w:t xml:space="preserve"> </w:t>
      </w:r>
      <w:r>
        <w:t xml:space="preserve">between species traits and extinction risk.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 </w:t>
      </w:r>
      <w:r>
        <w:t xml:space="preserve">237,</w:t>
      </w:r>
      <w:r>
        <w:t xml:space="preserve"> </w:t>
      </w:r>
      <w:r>
        <w:t xml:space="preserve">220–229.</w:t>
      </w:r>
    </w:p>
    <w:p>
      <w:pPr>
        <w:pStyle w:val="BodyText"/>
      </w:pPr>
      <w:r>
        <w:t xml:space="preserve">Cooke, R.S.C., Eigenbrod, F. &amp; Bates, A.E. (2019) Projected losses of global</w:t>
      </w:r>
      <w:r>
        <w:t xml:space="preserve"> </w:t>
      </w:r>
      <w:r>
        <w:t xml:space="preserve">mammal and bird ecological strategies.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10, 2279.</w:t>
      </w:r>
    </w:p>
    <w:p>
      <w:pPr>
        <w:pStyle w:val="BodyText"/>
      </w:pPr>
      <w:r>
        <w:t xml:space="preserve">Cox, N. et al. (2022) A global reptile assessment highlights shared</w:t>
      </w:r>
      <w:r>
        <w:t xml:space="preserve"> </w:t>
      </w:r>
      <w:r>
        <w:t xml:space="preserve">conservation needs of tetrapods.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605, 285–290.</w:t>
      </w:r>
    </w:p>
    <w:p>
      <w:pPr>
        <w:pStyle w:val="BodyText"/>
      </w:pPr>
      <w:r>
        <w:t xml:space="preserve">Currie, D.J. et al. (2004) Predictions and tests of climate-based hypotheses</w:t>
      </w:r>
      <w:r>
        <w:t xml:space="preserve"> </w:t>
      </w:r>
      <w:r>
        <w:t xml:space="preserve">of broad-scale variation in taxonomic richness.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7,</w:t>
      </w:r>
      <w:r>
        <w:t xml:space="preserve"> </w:t>
      </w:r>
      <w:r>
        <w:t xml:space="preserve">1121–1134.</w:t>
      </w:r>
    </w:p>
    <w:p>
      <w:pPr>
        <w:pStyle w:val="BodyText"/>
      </w:pPr>
      <w:r>
        <w:t xml:space="preserve">Deutsch, C.A., Tewksbury, J.J., Huey, R.B., Sheldon, K.S., Ghalambor, C.K.,</w:t>
      </w:r>
      <w:r>
        <w:t xml:space="preserve"> </w:t>
      </w:r>
      <w:r>
        <w:t xml:space="preserve">Haak, D.C. &amp; Martin, P.R. (2008) Impacts of climate warming on terrestrial</w:t>
      </w:r>
      <w:r>
        <w:t xml:space="preserve"> </w:t>
      </w:r>
      <w:r>
        <w:t xml:space="preserve">ectotherms across latitude.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rPr>
          <w:i/>
          <w:iCs/>
        </w:rPr>
        <w:t xml:space="preserve"> </w:t>
      </w:r>
      <w:r>
        <w:rPr>
          <w:i/>
          <w:iCs/>
        </w:rPr>
        <w:t xml:space="preserve">USA</w:t>
      </w:r>
      <w:r>
        <w:t xml:space="preserve"> </w:t>
      </w:r>
      <w:r>
        <w:t xml:space="preserve">105, 6668–6672.</w:t>
      </w:r>
    </w:p>
    <w:p>
      <w:pPr>
        <w:pStyle w:val="BodyText"/>
      </w:pPr>
      <w:r>
        <w:t xml:space="preserve">Díaz, S. et al. (2016) The global spectrum of plant form and function.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529, 167–171.</w:t>
      </w:r>
    </w:p>
    <w:p>
      <w:pPr>
        <w:pStyle w:val="BodyText"/>
      </w:pPr>
      <w:r>
        <w:t xml:space="preserve">Ding, C., Hu, Y., Li, C. &amp; Jiang, Z. (2022) A dataset on the morphological,</w:t>
      </w:r>
      <w:r>
        <w:t xml:space="preserve"> </w:t>
      </w:r>
      <w:r>
        <w:t xml:space="preserve">life-history and ecological traits of the mammals in China.</w:t>
      </w:r>
      <w:r>
        <w:t xml:space="preserve"> </w:t>
      </w:r>
      <w:r>
        <w:rPr>
          <w:i/>
          <w:iCs/>
        </w:rPr>
        <w:t xml:space="preserve">Biodiversity</w:t>
      </w:r>
      <w:r>
        <w:rPr>
          <w:i/>
          <w:iCs/>
        </w:rP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30, 21520. </w:t>
      </w:r>
      <w:r>
        <w:rPr>
          <w:rFonts w:hint="eastAsia"/>
        </w:rPr>
        <w:t xml:space="preserve">[丁晨晨等]</w:t>
      </w:r>
    </w:p>
    <w:p>
      <w:pPr>
        <w:pStyle w:val="BodyText"/>
      </w:pPr>
      <w:r>
        <w:t xml:space="preserve">Dormann, C.F. et al. (2007) Methods to account for spatial autocorrelation in</w:t>
      </w:r>
      <w:r>
        <w:t xml:space="preserve"> </w:t>
      </w:r>
      <w:r>
        <w:t xml:space="preserve">the analysis of species distributional data: a review.</w:t>
      </w:r>
      <w:r>
        <w:t xml:space="preserve"> </w:t>
      </w:r>
      <w:r>
        <w:rPr>
          <w:i/>
          <w:iCs/>
        </w:rPr>
        <w:t xml:space="preserve">Ecography</w:t>
      </w:r>
      <w:r>
        <w:t xml:space="preserve"> </w:t>
      </w:r>
      <w:r>
        <w:t xml:space="preserve">30,</w:t>
      </w:r>
      <w:r>
        <w:t xml:space="preserve"> </w:t>
      </w:r>
      <w:r>
        <w:t xml:space="preserve">609–628.</w:t>
      </w:r>
    </w:p>
    <w:p>
      <w:pPr>
        <w:pStyle w:val="BodyText"/>
      </w:pPr>
      <w:r>
        <w:t xml:space="preserve">Dray, S. &amp; Dufour, A.-B. (2007) The ade4 package: implementing the duality</w:t>
      </w:r>
      <w:r>
        <w:t xml:space="preserve"> </w:t>
      </w:r>
      <w:r>
        <w:t xml:space="preserve">diagram for ecologists.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22(4), 1–20.</w:t>
      </w:r>
    </w:p>
    <w:p>
      <w:pPr>
        <w:pStyle w:val="BodyText"/>
      </w:pPr>
      <w:r>
        <w:t xml:space="preserve">Dray, S. &amp; Legendre, P. (2008) Testing the species traits–environment</w:t>
      </w:r>
      <w:r>
        <w:t xml:space="preserve"> </w:t>
      </w:r>
      <w:r>
        <w:t xml:space="preserve">relationships: the fourth-corner problem revisited.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89, 3400–3412.</w:t>
      </w:r>
    </w:p>
    <w:p>
      <w:pPr>
        <w:pStyle w:val="BodyText"/>
      </w:pPr>
      <w:r>
        <w:t xml:space="preserve">Etard, A., Morrill, S. &amp; Newbold, T. (2020) Global gaps in trait data for</w:t>
      </w:r>
      <w:r>
        <w:t xml:space="preserve"> </w:t>
      </w:r>
      <w:r>
        <w:t xml:space="preserve">terrestrial vertebrates.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29, 2143–2158.</w:t>
      </w:r>
    </w:p>
    <w:p>
      <w:pPr>
        <w:pStyle w:val="BodyText"/>
      </w:pPr>
      <w:r>
        <w:t xml:space="preserve">Etard, A. &amp; Newbold, T. (2024) Species-level correlates of land-use responses</w:t>
      </w:r>
      <w:r>
        <w:t xml:space="preserve"> </w:t>
      </w:r>
      <w:r>
        <w:t xml:space="preserve">and climate-change sensitivity in terrestrial vertebrates.</w:t>
      </w:r>
      <w:r>
        <w:t xml:space="preserve"> </w:t>
      </w:r>
      <w:r>
        <w:rPr>
          <w:i/>
          <w:iCs/>
        </w:rPr>
        <w:t xml:space="preserve">Conservation</w:t>
      </w:r>
      <w:r>
        <w:rPr>
          <w:i/>
          <w:iCs/>
        </w:rPr>
        <w:t xml:space="preserve"> </w:t>
      </w:r>
      <w:r>
        <w:rPr>
          <w:i/>
          <w:iCs/>
        </w:rPr>
        <w:t xml:space="preserve">Biology</w:t>
      </w:r>
      <w:r>
        <w:t xml:space="preserve"> </w:t>
      </w:r>
      <w:r>
        <w:t xml:space="preserve">38, e14208.</w:t>
      </w:r>
    </w:p>
    <w:p>
      <w:pPr>
        <w:pStyle w:val="BodyText"/>
      </w:pPr>
      <w:r>
        <w:t xml:space="preserve">Fick, S.E. &amp; Hijmans, R.J. (2017) WorldClim 2: new 1-km spatial resolution</w:t>
      </w:r>
      <w:r>
        <w:t xml:space="preserve"> </w:t>
      </w:r>
      <w:r>
        <w:t xml:space="preserve">climate surfaces for global land areas.</w:t>
      </w:r>
      <w:r>
        <w:t xml:space="preserve"> </w:t>
      </w:r>
      <w:r>
        <w:rPr>
          <w:i/>
          <w:iCs/>
        </w:rPr>
        <w:t xml:space="preserve">International Journal of Climatology</w:t>
      </w:r>
      <w:r>
        <w:t xml:space="preserve"> </w:t>
      </w:r>
      <w:r>
        <w:t xml:space="preserve">37, 4302–4315.</w:t>
      </w:r>
    </w:p>
    <w:p>
      <w:pPr>
        <w:pStyle w:val="BodyText"/>
      </w:pPr>
      <w:r>
        <w:t xml:space="preserve">Gotelli, N.J. (2000) Null model analysis of species co-occurrence patterns.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81, 2606–2621.</w:t>
      </w:r>
    </w:p>
    <w:p>
      <w:pPr>
        <w:pStyle w:val="BodyText"/>
      </w:pPr>
      <w:r>
        <w:t xml:space="preserve">Hawkins, B.A. et al. (2003) Energy, water, and broad-scale geographic patterns</w:t>
      </w:r>
      <w:r>
        <w:t xml:space="preserve"> </w:t>
      </w:r>
      <w:r>
        <w:t xml:space="preserve">of species richness.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84, 3105–3117.</w:t>
      </w:r>
    </w:p>
    <w:p>
      <w:pPr>
        <w:pStyle w:val="BodyText"/>
      </w:pPr>
      <w:r>
        <w:t xml:space="preserve">Hawkins, B.A., Leroy, B., Rodríguez, M.Á., Singer, A., Vilela, B., Villalobos,</w:t>
      </w:r>
      <w:r>
        <w:t xml:space="preserve"> </w:t>
      </w:r>
      <w:r>
        <w:t xml:space="preserve">F., Wang, X. &amp; Zelený, D. (2017) Structural bias in aggregated species-level</w:t>
      </w:r>
      <w:r>
        <w:t xml:space="preserve"> </w:t>
      </w:r>
      <w:r>
        <w:t xml:space="preserve">variables driven by repeated species co-occurrences: a pervasive problem in</w:t>
      </w:r>
      <w:r>
        <w:t xml:space="preserve"> </w:t>
      </w:r>
      <w:r>
        <w:t xml:space="preserve">community and assemblage data.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 </w:t>
      </w:r>
      <w:r>
        <w:t xml:space="preserve">44, 1199–1211.</w:t>
      </w:r>
    </w:p>
    <w:p>
      <w:pPr>
        <w:pStyle w:val="BodyText"/>
      </w:pPr>
      <w:r>
        <w:t xml:space="preserve">Healy, K., Ezard, T.H.G., Jones, O.R., Salguero-Gómez, R. &amp; Buckley, Y.M.</w:t>
      </w:r>
      <w:r>
        <w:t xml:space="preserve"> </w:t>
      </w:r>
      <w:r>
        <w:t xml:space="preserve">(2019) Animal life history is shaped by the pace of life and the distribution</w:t>
      </w:r>
      <w:r>
        <w:t xml:space="preserve"> </w:t>
      </w:r>
      <w:r>
        <w:t xml:space="preserve">of age-specific mortality and reproduction.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3,</w:t>
      </w:r>
      <w:r>
        <w:t xml:space="preserve"> </w:t>
      </w:r>
      <w:r>
        <w:t xml:space="preserve">1217–1224.</w:t>
      </w:r>
    </w:p>
    <w:p>
      <w:pPr>
        <w:pStyle w:val="BodyText"/>
      </w:pPr>
      <w:r>
        <w:t xml:space="preserve">Huang, M., Huang, G., Fan, H. &amp; Wei, F. (2023) Influence of Last Glacial</w:t>
      </w:r>
      <w:r>
        <w:t xml:space="preserve"> </w:t>
      </w:r>
      <w:r>
        <w:t xml:space="preserve">Maximum legacies on functional diversity and community assembly of extant</w:t>
      </w:r>
      <w:r>
        <w:t xml:space="preserve"> </w:t>
      </w:r>
      <w:r>
        <w:t xml:space="preserve">Chinese terrestrial vertebrates.</w:t>
      </w:r>
      <w:r>
        <w:t xml:space="preserve"> </w:t>
      </w:r>
      <w:r>
        <w:rPr>
          <w:i/>
          <w:iCs/>
        </w:rPr>
        <w:t xml:space="preserve">The Innovation</w:t>
      </w:r>
      <w:r>
        <w:t xml:space="preserve"> </w:t>
      </w:r>
      <w:r>
        <w:t xml:space="preserve">4, 100379.</w:t>
      </w:r>
    </w:p>
    <w:p>
      <w:pPr>
        <w:pStyle w:val="BodyText"/>
      </w:pPr>
      <w:r>
        <w:t xml:space="preserve">Huey, R.B. &amp; Kingsolver, J.G. (1989) Evolution of thermal sensitivity of</w:t>
      </w:r>
      <w:r>
        <w:t xml:space="preserve"> </w:t>
      </w:r>
      <w:r>
        <w:t xml:space="preserve">ectotherm performance.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4, 131–135.</w:t>
      </w:r>
    </w:p>
    <w:p>
      <w:pPr>
        <w:pStyle w:val="BodyText"/>
      </w:pPr>
      <w:r>
        <w:t xml:space="preserve">IUCN (2024) The IUCN Red List of Threatened Species, spatial data. IUCN,</w:t>
      </w:r>
      <w:r>
        <w:t xml:space="preserve"> </w:t>
      </w:r>
      <w:r>
        <w:t xml:space="preserve">Gland. https://www.iucnredlist.org</w:t>
      </w:r>
    </w:p>
    <w:p>
      <w:pPr>
        <w:pStyle w:val="BodyText"/>
      </w:pPr>
      <w:r>
        <w:t xml:space="preserve">Janzen, D.H. (1967) Why mountain passes are higher in the tropics.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American Naturalist</w:t>
      </w:r>
      <w:r>
        <w:t xml:space="preserve"> </w:t>
      </w:r>
      <w:r>
        <w:t xml:space="preserve">101, 233–249.</w:t>
      </w:r>
    </w:p>
    <w:p>
      <w:pPr>
        <w:pStyle w:val="BodyText"/>
      </w:pPr>
      <w:r>
        <w:t xml:space="preserve">Jenkins, C.N., Pimm, S.L. &amp; Joppa, L.N. (2013) Global patterns of terrestrial</w:t>
      </w:r>
      <w:r>
        <w:t xml:space="preserve"> </w:t>
      </w:r>
      <w:r>
        <w:t xml:space="preserve">vertebrate diversity and conservation.</w:t>
      </w:r>
      <w:r>
        <w:t xml:space="preserve"> </w:t>
      </w:r>
      <w:r>
        <w:rPr>
          <w:i/>
          <w:iCs/>
        </w:rPr>
        <w:t xml:space="preserve">Proceedings of the National Academy of</w:t>
      </w:r>
      <w:r>
        <w:rPr>
          <w:i/>
          <w:iCs/>
        </w:rPr>
        <w:t xml:space="preserve"> </w:t>
      </w:r>
      <w:r>
        <w:rPr>
          <w:i/>
          <w:iCs/>
        </w:rPr>
        <w:t xml:space="preserve">Sciences USA</w:t>
      </w:r>
      <w:r>
        <w:t xml:space="preserve"> </w:t>
      </w:r>
      <w:r>
        <w:t xml:space="preserve">110, E2602–E2610.</w:t>
      </w:r>
    </w:p>
    <w:p>
      <w:pPr>
        <w:pStyle w:val="BodyText"/>
      </w:pPr>
      <w:r>
        <w:t xml:space="preserve">Kearney, M. &amp; Porter, W. (2009) Mechanistic niche modelling: combining</w:t>
      </w:r>
      <w:r>
        <w:t xml:space="preserve"> </w:t>
      </w:r>
      <w:r>
        <w:t xml:space="preserve">physiological and spatial data to predict species’ ranges.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12, 334–350.</w:t>
      </w:r>
    </w:p>
    <w:p>
      <w:pPr>
        <w:pStyle w:val="BodyText"/>
      </w:pPr>
      <w:r>
        <w:t xml:space="preserve">Keddy, P.A. (1992) Assembly and response rules: two goals for predictive</w:t>
      </w:r>
      <w:r>
        <w:t xml:space="preserve"> </w:t>
      </w:r>
      <w:r>
        <w:t xml:space="preserve">community ecology.</w:t>
      </w:r>
      <w:r>
        <w:t xml:space="preserve"> </w:t>
      </w:r>
      <w:r>
        <w:rPr>
          <w:i/>
          <w:iCs/>
        </w:rPr>
        <w:t xml:space="preserve">Journal of Vegetation Science</w:t>
      </w:r>
      <w:r>
        <w:t xml:space="preserve"> </w:t>
      </w:r>
      <w:r>
        <w:t xml:space="preserve">3, 157–164.</w:t>
      </w:r>
    </w:p>
    <w:p>
      <w:pPr>
        <w:pStyle w:val="BodyText"/>
      </w:pPr>
      <w:r>
        <w:t xml:space="preserve">Kerr, J.T. &amp; Packer, L. (1997) Habitat heterogeneity as a determinant of</w:t>
      </w:r>
      <w:r>
        <w:t xml:space="preserve"> </w:t>
      </w:r>
      <w:r>
        <w:t xml:space="preserve">mammal species richness in high-energy regions.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385, 252–254.</w:t>
      </w:r>
    </w:p>
    <w:p>
      <w:pPr>
        <w:pStyle w:val="BodyText"/>
      </w:pPr>
      <w:r>
        <w:t xml:space="preserve">Khaliq, I., Hof, C., Prinzinger, R., Böhning-Gaese, K. &amp; Pfenninger, M. (2014)</w:t>
      </w:r>
      <w:r>
        <w:t xml:space="preserve"> </w:t>
      </w:r>
      <w:r>
        <w:t xml:space="preserve">Global variation in thermal tolerances and vulnerability of endotherms to</w:t>
      </w:r>
      <w:r>
        <w:t xml:space="preserve"> </w:t>
      </w:r>
      <w:r>
        <w:t xml:space="preserve">climate change.</w:t>
      </w:r>
      <w:r>
        <w:t xml:space="preserve"> </w:t>
      </w:r>
      <w:r>
        <w:rPr>
          <w:i/>
          <w:iCs/>
        </w:rPr>
        <w:t xml:space="preserve">Proceedings of the Royal Society B</w:t>
      </w:r>
      <w:r>
        <w:t xml:space="preserve"> </w:t>
      </w:r>
      <w:r>
        <w:t xml:space="preserve">281, 20141097.</w:t>
      </w:r>
    </w:p>
    <w:p>
      <w:pPr>
        <w:pStyle w:val="BodyText"/>
      </w:pPr>
      <w:r>
        <w:t xml:space="preserve">Kissling, W.D. &amp; Carl, G. (2008) Spatial autocorrelation and the selection of</w:t>
      </w:r>
      <w:r>
        <w:t xml:space="preserve"> </w:t>
      </w:r>
      <w:r>
        <w:t xml:space="preserve">simultaneous autoregressive models.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17,</w:t>
      </w:r>
      <w:r>
        <w:t xml:space="preserve"> </w:t>
      </w:r>
      <w:r>
        <w:t xml:space="preserve">59–71.</w:t>
      </w:r>
    </w:p>
    <w:p>
      <w:pPr>
        <w:pStyle w:val="BodyText"/>
      </w:pPr>
      <w:r>
        <w:t xml:space="preserve">Kraft, N.J.B., Adler, P.B., Godoy, O., James, E.C., Fuller, S. &amp; Levine, J.M.</w:t>
      </w:r>
      <w:r>
        <w:t xml:space="preserve"> </w:t>
      </w:r>
      <w:r>
        <w:t xml:space="preserve">(2015) Community assembly, coexistence and the environmental filtering</w:t>
      </w:r>
      <w:r>
        <w:t xml:space="preserve"> </w:t>
      </w:r>
      <w:r>
        <w:t xml:space="preserve">metaphor.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 </w:t>
      </w:r>
      <w:r>
        <w:t xml:space="preserve">29, 592–599.</w:t>
      </w:r>
    </w:p>
    <w:p>
      <w:pPr>
        <w:pStyle w:val="BodyText"/>
      </w:pPr>
      <w:r>
        <w:t xml:space="preserve">Kukkala, A.S. &amp; Moilanen, A. (2013) Core concepts of spatial prioritisation in</w:t>
      </w:r>
      <w:r>
        <w:t xml:space="preserve"> </w:t>
      </w:r>
      <w:r>
        <w:t xml:space="preserve">systematic conservation planning.</w:t>
      </w:r>
      <w:r>
        <w:t xml:space="preserve"> </w:t>
      </w:r>
      <w:r>
        <w:rPr>
          <w:i/>
          <w:iCs/>
        </w:rPr>
        <w:t xml:space="preserve">Biological Reviews</w:t>
      </w:r>
      <w:r>
        <w:t xml:space="preserve"> </w:t>
      </w:r>
      <w:r>
        <w:t xml:space="preserve">88, 443–464.</w:t>
      </w:r>
    </w:p>
    <w:p>
      <w:pPr>
        <w:pStyle w:val="BodyText"/>
      </w:pPr>
      <w:r>
        <w:t xml:space="preserve">Laliberté, E. &amp; Legendre, P. (2010) A distance-based framework for measuring</w:t>
      </w:r>
      <w:r>
        <w:t xml:space="preserve"> </w:t>
      </w:r>
      <w:r>
        <w:t xml:space="preserve">functional diversity from multiple traits.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91, 299–305.</w:t>
      </w:r>
    </w:p>
    <w:p>
      <w:pPr>
        <w:pStyle w:val="BodyText"/>
      </w:pPr>
      <w:r>
        <w:t xml:space="preserve">Lamanna, C. et al. (2014) Functional trait space and the latitudinal diversity</w:t>
      </w:r>
      <w:r>
        <w:t xml:space="preserve"> </w:t>
      </w:r>
      <w:r>
        <w:t xml:space="preserve">gradient.</w:t>
      </w:r>
      <w:r>
        <w:t xml:space="preserve"> </w:t>
      </w:r>
      <w:r>
        <w:rPr>
          <w:i/>
          <w:iCs/>
        </w:rPr>
        <w:t xml:space="preserve">Proceedings of the National Academy of Sciences USA</w:t>
      </w:r>
      <w:r>
        <w:t xml:space="preserve"> </w:t>
      </w:r>
      <w:r>
        <w:t xml:space="preserve">111,</w:t>
      </w:r>
      <w:r>
        <w:t xml:space="preserve"> </w:t>
      </w:r>
      <w:r>
        <w:t xml:space="preserve">13745–13750.</w:t>
      </w:r>
    </w:p>
    <w:p>
      <w:pPr>
        <w:pStyle w:val="BodyText"/>
      </w:pPr>
      <w:r>
        <w:t xml:space="preserve">Lavorel, S. &amp; Garnier, E. (2002) Predicting changes in community composition</w:t>
      </w:r>
      <w:r>
        <w:t xml:space="preserve"> </w:t>
      </w:r>
      <w:r>
        <w:t xml:space="preserve">and ecosystem functioning from plant traits: revisiting the Holy Grail.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 </w:t>
      </w:r>
      <w:r>
        <w:t xml:space="preserve">16, 545–556.</w:t>
      </w:r>
    </w:p>
    <w:p>
      <w:pPr>
        <w:pStyle w:val="BodyText"/>
      </w:pPr>
      <w:r>
        <w:t xml:space="preserve">Legendre, P. (1993) Spatial autocorrelation: trouble or new paradigm?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74, 1659–1673.</w:t>
      </w:r>
    </w:p>
    <w:p>
      <w:pPr>
        <w:pStyle w:val="BodyText"/>
      </w:pPr>
      <w:r>
        <w:t xml:space="preserve">Luedtke, J.A. et al. (2023) Ongoing declines for the world’s amphibians in the</w:t>
      </w:r>
      <w:r>
        <w:t xml:space="preserve"> </w:t>
      </w:r>
      <w:r>
        <w:t xml:space="preserve">face of emerging threats.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622, 308–314.</w:t>
      </w:r>
    </w:p>
    <w:p>
      <w:pPr>
        <w:pStyle w:val="BodyText"/>
      </w:pPr>
      <w:r>
        <w:t xml:space="preserve">Margules, C.R. &amp; Pressey, R.L. (2000) Systematic conservation planning.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405, 243–253.</w:t>
      </w:r>
    </w:p>
    <w:p>
      <w:pPr>
        <w:pStyle w:val="BodyText"/>
      </w:pPr>
      <w:r>
        <w:t xml:space="preserve">Mason, N.W.H., Mouillot, D., Lee, W.G. &amp; Wilson, J.B. (2005) Functional</w:t>
      </w:r>
      <w:r>
        <w:t xml:space="preserve"> </w:t>
      </w:r>
      <w:r>
        <w:t xml:space="preserve">richness, functional evenness and functional divergence: the primary</w:t>
      </w:r>
      <w:r>
        <w:t xml:space="preserve"> </w:t>
      </w:r>
      <w:r>
        <w:t xml:space="preserve">components of functional diversity.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t xml:space="preserve">111, 112–118.</w:t>
      </w:r>
    </w:p>
    <w:p>
      <w:pPr>
        <w:pStyle w:val="BodyText"/>
      </w:pPr>
      <w:r>
        <w:t xml:space="preserve">Maxwell, S.L. et al. (2020) Area-based conservation in the twenty-first</w:t>
      </w:r>
      <w:r>
        <w:t xml:space="preserve"> </w:t>
      </w:r>
      <w:r>
        <w:t xml:space="preserve">century.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586, 217–227.</w:t>
      </w:r>
    </w:p>
    <w:p>
      <w:pPr>
        <w:pStyle w:val="BodyText"/>
      </w:pPr>
      <w:r>
        <w:t xml:space="preserve">McGill, B.J., Enquist, B.J., Weiher, E. &amp; Westoby, M. (2006) Rebuilding</w:t>
      </w:r>
      <w:r>
        <w:t xml:space="preserve"> </w:t>
      </w:r>
      <w:r>
        <w:t xml:space="preserve">community ecology from functional traits.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21,</w:t>
      </w:r>
      <w:r>
        <w:t xml:space="preserve"> </w:t>
      </w:r>
      <w:r>
        <w:t xml:space="preserve">178–185.</w:t>
      </w:r>
    </w:p>
    <w:p>
      <w:pPr>
        <w:pStyle w:val="BodyText"/>
      </w:pPr>
      <w:r>
        <w:t xml:space="preserve">Meiri, S. &amp; Dayan, T. (2003) On the validity of Bergmann’s rule.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Biogeography</w:t>
      </w:r>
      <w:r>
        <w:t xml:space="preserve"> </w:t>
      </w:r>
      <w:r>
        <w:t xml:space="preserve">30, 331–351.</w:t>
      </w:r>
    </w:p>
    <w:p>
      <w:pPr>
        <w:pStyle w:val="BodyText"/>
      </w:pPr>
      <w:r>
        <w:t xml:space="preserve">Moura, M.R. &amp; Jetz, W. (2021) Shortfalls and opportunities in terrestrial</w:t>
      </w:r>
      <w:r>
        <w:t xml:space="preserve"> </w:t>
      </w:r>
      <w:r>
        <w:t xml:space="preserve">vertebrate species discovery.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5, 631–639.</w:t>
      </w:r>
    </w:p>
    <w:p>
      <w:pPr>
        <w:pStyle w:val="BodyText"/>
      </w:pPr>
      <w:r>
        <w:t xml:space="preserve">Moura, M.R. et al. (2024) A phylogeny-informed characterisation of global</w:t>
      </w:r>
      <w:r>
        <w:t xml:space="preserve"> </w:t>
      </w:r>
      <w:r>
        <w:t xml:space="preserve">tetrapod traits addresses data gaps and biases.</w:t>
      </w:r>
      <w:r>
        <w:t xml:space="preserve"> </w:t>
      </w:r>
      <w:r>
        <w:rPr>
          <w:i/>
          <w:iCs/>
        </w:rPr>
        <w:t xml:space="preserve">PLoS Biology</w:t>
      </w:r>
      <w:r>
        <w:t xml:space="preserve"> </w:t>
      </w:r>
      <w:r>
        <w:t xml:space="preserve">22, e3002658.</w:t>
      </w:r>
    </w:p>
    <w:p>
      <w:pPr>
        <w:pStyle w:val="BodyText"/>
      </w:pPr>
      <w:r>
        <w:t xml:space="preserve">Mu, H. et al. (2022) A global record of annual terrestrial Human Footprint</w:t>
      </w:r>
      <w:r>
        <w:t xml:space="preserve"> </w:t>
      </w:r>
      <w:r>
        <w:t xml:space="preserve">dataset from 2000 to 2018.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9, 176.</w:t>
      </w:r>
    </w:p>
    <w:p>
      <w:pPr>
        <w:pStyle w:val="BodyText"/>
      </w:pPr>
      <w:r>
        <w:t xml:space="preserve">Nemhauser, G.L., Wolsey, L.A. &amp; Fisher, M.L. (1978) An analysis of</w:t>
      </w:r>
      <w:r>
        <w:t xml:space="preserve"> </w:t>
      </w:r>
      <w:r>
        <w:t xml:space="preserve">approximations for maximizing submodular set functions—I.</w:t>
      </w:r>
      <w:r>
        <w:t xml:space="preserve"> </w:t>
      </w:r>
      <w:r>
        <w:rPr>
          <w:i/>
          <w:iCs/>
        </w:rPr>
        <w:t xml:space="preserve">Mathematical</w:t>
      </w:r>
      <w:r>
        <w:rPr>
          <w:i/>
          <w:iCs/>
        </w:rPr>
        <w:t xml:space="preserve"> </w:t>
      </w:r>
      <w:r>
        <w:rPr>
          <w:i/>
          <w:iCs/>
        </w:rPr>
        <w:t xml:space="preserve">Programming</w:t>
      </w:r>
      <w:r>
        <w:t xml:space="preserve"> </w:t>
      </w:r>
      <w:r>
        <w:t xml:space="preserve">14, 265–294.</w:t>
      </w:r>
    </w:p>
    <w:p>
      <w:pPr>
        <w:pStyle w:val="BodyText"/>
      </w:pPr>
      <w:r>
        <w:t xml:space="preserve">Newbold, T. et al. (2015) Global effects of land use on local terrestrial</w:t>
      </w:r>
      <w:r>
        <w:t xml:space="preserve"> </w:t>
      </w:r>
      <w:r>
        <w:t xml:space="preserve">biodiversity.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520, 45–50.</w:t>
      </w:r>
    </w:p>
    <w:p>
      <w:pPr>
        <w:pStyle w:val="BodyText"/>
      </w:pPr>
      <w:r>
        <w:t xml:space="preserve">O’Brien, E.M. (1998) Water–energy dynamics, climate, and prediction of woody</w:t>
      </w:r>
      <w:r>
        <w:t xml:space="preserve"> </w:t>
      </w:r>
      <w:r>
        <w:t xml:space="preserve">plant species richness: an interim general model.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 </w:t>
      </w:r>
      <w:r>
        <w:t xml:space="preserve">25, 379–398.</w:t>
      </w:r>
    </w:p>
    <w:p>
      <w:pPr>
        <w:pStyle w:val="BodyText"/>
      </w:pPr>
      <w:r>
        <w:t xml:space="preserve">Olalla-Tárraga, M.Á., Rodríguez, M.Á. &amp; Hawkins, B.A. (2006) Broad-scale</w:t>
      </w:r>
      <w:r>
        <w:t xml:space="preserve"> </w:t>
      </w:r>
      <w:r>
        <w:t xml:space="preserve">patterns of body size in squamate reptiles of Europe and North America.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 </w:t>
      </w:r>
      <w:r>
        <w:t xml:space="preserve">33, 781–793.</w:t>
      </w:r>
    </w:p>
    <w:p>
      <w:pPr>
        <w:pStyle w:val="BodyText"/>
      </w:pPr>
      <w:r>
        <w:t xml:space="preserve">Oliveira, B.F., São-Pedro, V.A., Santos-Barrera, G., Penone, C. &amp; Costa, G.C.</w:t>
      </w:r>
      <w:r>
        <w:t xml:space="preserve"> </w:t>
      </w:r>
      <w:r>
        <w:t xml:space="preserve">(2017) AmphiBIO, a global database for amphibian ecological traits.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4, 170123.</w:t>
      </w:r>
    </w:p>
    <w:p>
      <w:pPr>
        <w:pStyle w:val="BodyText"/>
      </w:pPr>
      <w:r>
        <w:t xml:space="preserve">Olson, V.A., Davies, R.G., Orme, C.D.L., Thomas, G.H., Meiri, S., Blackburn,</w:t>
      </w:r>
      <w:r>
        <w:t xml:space="preserve"> </w:t>
      </w:r>
      <w:r>
        <w:t xml:space="preserve">T.M., Gaston, K.J., Owens, I.P.F. &amp; Bennett, P.M. (2009) Global biogeography</w:t>
      </w:r>
      <w:r>
        <w:t xml:space="preserve"> </w:t>
      </w:r>
      <w:r>
        <w:t xml:space="preserve">and ecology of body size in birds.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12, 249–259.</w:t>
      </w:r>
    </w:p>
    <w:p>
      <w:pPr>
        <w:pStyle w:val="BodyText"/>
      </w:pPr>
      <w:r>
        <w:t xml:space="preserve">Oskyrko, O., Mi, C., Meiri, S. &amp; Du, W. (2024) ReptTraits: a comprehensive</w:t>
      </w:r>
      <w:r>
        <w:t xml:space="preserve"> </w:t>
      </w:r>
      <w:r>
        <w:t xml:space="preserve">dataset of ecological traits in reptiles.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11, 243.</w:t>
      </w:r>
    </w:p>
    <w:p>
      <w:pPr>
        <w:pStyle w:val="BodyText"/>
      </w:pPr>
      <w:r>
        <w:t xml:space="preserve">Penone, C., Davidson, A.D., Shoemaker, K.T., Di Marco, M., Rondinini, C.,</w:t>
      </w:r>
      <w:r>
        <w:t xml:space="preserve"> </w:t>
      </w:r>
      <w:r>
        <w:t xml:space="preserve">Brooks, T.M., Young, B.E., Graham, C.H. &amp; Costa, G.C. (2014) Imputation of</w:t>
      </w:r>
      <w:r>
        <w:t xml:space="preserve"> </w:t>
      </w:r>
      <w:r>
        <w:t xml:space="preserve">missing data in life-history trait datasets: which approach performs the best?</w:t>
      </w:r>
      <w:r>
        <w:t xml:space="preserve"> </w:t>
      </w:r>
      <w:r>
        <w:rPr>
          <w:i/>
          <w:iCs/>
        </w:rPr>
        <w:t xml:space="preserve">Methods in Ecology and Evolution</w:t>
      </w:r>
      <w:r>
        <w:t xml:space="preserve"> </w:t>
      </w:r>
      <w:r>
        <w:t xml:space="preserve">5, 961–970.</w:t>
      </w:r>
    </w:p>
    <w:p>
      <w:pPr>
        <w:pStyle w:val="BodyText"/>
      </w:pPr>
      <w:r>
        <w:t xml:space="preserve">Peres-Neto, P.R., Dray, S. &amp; ter Braak, C.J.F. (2017) Linking trait variation</w:t>
      </w:r>
      <w:r>
        <w:t xml:space="preserve"> </w:t>
      </w:r>
      <w:r>
        <w:t xml:space="preserve">to the environment: critical issues with community-weighted mean correlation</w:t>
      </w:r>
      <w:r>
        <w:t xml:space="preserve"> </w:t>
      </w:r>
      <w:r>
        <w:t xml:space="preserve">resolved by the fourth-corner approach.</w:t>
      </w:r>
      <w:r>
        <w:t xml:space="preserve"> </w:t>
      </w:r>
      <w:r>
        <w:rPr>
          <w:i/>
          <w:iCs/>
        </w:rPr>
        <w:t xml:space="preserve">Ecography</w:t>
      </w:r>
      <w:r>
        <w:t xml:space="preserve"> </w:t>
      </w:r>
      <w:r>
        <w:t xml:space="preserve">40, 806–816.</w:t>
      </w:r>
    </w:p>
    <w:p>
      <w:pPr>
        <w:pStyle w:val="BodyText"/>
      </w:pPr>
      <w:r>
        <w:t xml:space="preserve">Pinsky, M.L., Eikeset, A.M., McCauley, D.J., Payne, J.L. &amp; Sunday, J.M. (2019)</w:t>
      </w:r>
      <w:r>
        <w:t xml:space="preserve"> </w:t>
      </w:r>
      <w:r>
        <w:t xml:space="preserve">Greater vulnerability to warming of marine versus terrestrial ectotherms.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569, 108–111.</w:t>
      </w:r>
    </w:p>
    <w:p>
      <w:pPr>
        <w:pStyle w:val="BodyText"/>
      </w:pPr>
      <w:r>
        <w:t xml:space="preserve">Pollock, L.J., Thuiller, W. &amp; Jetz, W. (2017) Large conservation gains</w:t>
      </w:r>
      <w:r>
        <w:t xml:space="preserve"> </w:t>
      </w:r>
      <w:r>
        <w:t xml:space="preserve">possible for global biodiversity facets.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546, 141–144.</w:t>
      </w:r>
    </w:p>
    <w:p>
      <w:pPr>
        <w:pStyle w:val="BodyText"/>
      </w:pPr>
      <w:r>
        <w:t xml:space="preserve">Promislow, D.E.L. &amp; Harvey, P.H. (1990) Living fast and dying young: a</w:t>
      </w:r>
      <w:r>
        <w:t xml:space="preserve"> </w:t>
      </w:r>
      <w:r>
        <w:t xml:space="preserve">comparative analysis of life-history variation among mammals.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Zoology</w:t>
      </w:r>
      <w:r>
        <w:t xml:space="preserve"> </w:t>
      </w:r>
      <w:r>
        <w:t xml:space="preserve">220, 417–437.</w:t>
      </w:r>
    </w:p>
    <w:p>
      <w:pPr>
        <w:pStyle w:val="BodyText"/>
      </w:pPr>
      <w:r>
        <w:t xml:space="preserve">R Core Team (2025)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</w:t>
      </w:r>
      <w:r>
        <w:t xml:space="preserve"> </w:t>
      </w:r>
      <w:r>
        <w:t xml:space="preserve">R Foundation for Statistical Computing, Vienna.</w:t>
      </w:r>
    </w:p>
    <w:p>
      <w:pPr>
        <w:pStyle w:val="BodyText"/>
      </w:pPr>
      <w:r>
        <w:t xml:space="preserve">Rodrigues, A.S.L. &amp; Brooks, T.M. (2007) Shortcuts for biodiversity</w:t>
      </w:r>
      <w:r>
        <w:t xml:space="preserve"> </w:t>
      </w:r>
      <w:r>
        <w:t xml:space="preserve">conservation planning: the effectiveness of surrogates.</w:t>
      </w:r>
      <w:r>
        <w:t xml:space="preserve"> </w:t>
      </w:r>
      <w:r>
        <w:rPr>
          <w:i/>
          <w:iCs/>
        </w:rPr>
        <w:t xml:space="preserve">Annual Review of</w:t>
      </w:r>
      <w:r>
        <w:rPr>
          <w:i/>
          <w:iCs/>
        </w:rPr>
        <w:t xml:space="preserve"> </w:t>
      </w:r>
      <w:r>
        <w:rPr>
          <w:i/>
          <w:iCs/>
        </w:rPr>
        <w:t xml:space="preserve">Ecology, Evolution, and Systematics</w:t>
      </w:r>
      <w:r>
        <w:t xml:space="preserve"> </w:t>
      </w:r>
      <w:r>
        <w:t xml:space="preserve">38, 713–737.</w:t>
      </w:r>
    </w:p>
    <w:p>
      <w:pPr>
        <w:pStyle w:val="BodyText"/>
      </w:pPr>
      <w:r>
        <w:t xml:space="preserve">Rodrigues, A.S.L. &amp; Gaston, K.J. (2001) How large do reserve networks need to</w:t>
      </w:r>
      <w:r>
        <w:t xml:space="preserve"> </w:t>
      </w:r>
      <w:r>
        <w:t xml:space="preserve">be?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4, 602–609.</w:t>
      </w:r>
    </w:p>
    <w:p>
      <w:pPr>
        <w:pStyle w:val="BodyText"/>
      </w:pPr>
      <w:r>
        <w:t xml:space="preserve">Rodrigues, A.S.L. et al. (2004) Effectiveness of the global protected area</w:t>
      </w:r>
      <w:r>
        <w:t xml:space="preserve"> </w:t>
      </w:r>
      <w:r>
        <w:t xml:space="preserve">network in representing species diversity.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428, 640–643.</w:t>
      </w:r>
    </w:p>
    <w:p>
      <w:pPr>
        <w:pStyle w:val="BodyText"/>
      </w:pPr>
      <w:r>
        <w:t xml:space="preserve">Roll, U. et al. (2017) The global distribution of tetrapods reveals a need for</w:t>
      </w:r>
      <w:r>
        <w:t xml:space="preserve"> </w:t>
      </w:r>
      <w:r>
        <w:t xml:space="preserve">targeted reptile conservation.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1, 1677–1682.</w:t>
      </w:r>
    </w:p>
    <w:p>
      <w:pPr>
        <w:pStyle w:val="BodyText"/>
      </w:pPr>
      <w:r>
        <w:t xml:space="preserve">Salguero-Gómez, R., Jones, O.R., Jongejans, E., Blomberg, S.P., Hodgson, D.J.,</w:t>
      </w:r>
      <w:r>
        <w:t xml:space="preserve"> </w:t>
      </w:r>
      <w:r>
        <w:t xml:space="preserve">Mbeau-Ache, C., Zuidema, P.A., de Kroon, H. &amp; Buckley, Y.M. (2016) Fast–slow</w:t>
      </w:r>
      <w:r>
        <w:t xml:space="preserve"> </w:t>
      </w:r>
      <w:r>
        <w:t xml:space="preserve">continuum and reproductive strategies structure plant life-history variation</w:t>
      </w:r>
      <w:r>
        <w:t xml:space="preserve"> </w:t>
      </w:r>
      <w:r>
        <w:t xml:space="preserve">worldwide.</w:t>
      </w:r>
      <w:r>
        <w:t xml:space="preserve"> </w:t>
      </w:r>
      <w:r>
        <w:rPr>
          <w:i/>
          <w:iCs/>
        </w:rPr>
        <w:t xml:space="preserve">Proceedings of the National Academy of Sciences USA</w:t>
      </w:r>
      <w:r>
        <w:t xml:space="preserve"> </w:t>
      </w:r>
      <w:r>
        <w:t xml:space="preserve">113, 230–235.</w:t>
      </w:r>
    </w:p>
    <w:p>
      <w:pPr>
        <w:pStyle w:val="BodyText"/>
      </w:pPr>
      <w:r>
        <w:t xml:space="preserve">Slatyer, R.A., Hirst, M. &amp; Sexton, J.P. (2013) Niche breadth predicts</w:t>
      </w:r>
      <w:r>
        <w:t xml:space="preserve"> </w:t>
      </w:r>
      <w:r>
        <w:t xml:space="preserve">geographical range size: a general ecological pattern.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16,</w:t>
      </w:r>
      <w:r>
        <w:t xml:space="preserve"> </w:t>
      </w:r>
      <w:r>
        <w:t xml:space="preserve">1104–1114.</w:t>
      </w:r>
    </w:p>
    <w:p>
      <w:pPr>
        <w:pStyle w:val="BodyText"/>
      </w:pPr>
      <w:r>
        <w:t xml:space="preserve">Song, Y. et al. (2022) A dataset on the life-history and ecological traits</w:t>
      </w:r>
      <w:r>
        <w:t xml:space="preserve"> </w:t>
      </w:r>
      <w:r>
        <w:t xml:space="preserve">of Chinese amphibians.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30, 22053. </w:t>
      </w:r>
      <w:r>
        <w:rPr>
          <w:rFonts w:hint="eastAsia"/>
        </w:rPr>
        <w:t xml:space="preserve">[宋云枫等]</w:t>
      </w:r>
    </w:p>
    <w:p>
      <w:pPr>
        <w:pStyle w:val="BodyText"/>
      </w:pPr>
      <w:r>
        <w:t xml:space="preserve">Soria, C.D., Pacifici, M., Di Marco, M., Stephen, S.M. &amp; Rondinini, C. (2021)</w:t>
      </w:r>
      <w:r>
        <w:t xml:space="preserve"> </w:t>
      </w:r>
      <w:r>
        <w:t xml:space="preserve">COMBINE: a coalesced mammal database of intrinsic and extrinsic traits.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102, e03344.</w:t>
      </w:r>
    </w:p>
    <w:p>
      <w:pPr>
        <w:pStyle w:val="BodyText"/>
      </w:pPr>
      <w:r>
        <w:t xml:space="preserve">Stearns, S.C. (1992)</w:t>
      </w:r>
      <w:r>
        <w:t xml:space="preserve"> </w:t>
      </w:r>
      <w:r>
        <w:rPr>
          <w:i/>
          <w:iCs/>
        </w:rPr>
        <w:t xml:space="preserve">The Evolution of Life Histories</w:t>
      </w:r>
      <w:r>
        <w:t xml:space="preserve">. Oxford University</w:t>
      </w:r>
      <w:r>
        <w:t xml:space="preserve"> </w:t>
      </w:r>
      <w:r>
        <w:t xml:space="preserve">Press, Oxford.</w:t>
      </w:r>
    </w:p>
    <w:p>
      <w:pPr>
        <w:pStyle w:val="BodyText"/>
      </w:pPr>
      <w:r>
        <w:t xml:space="preserve">Stekhoven, D.J. &amp; Bühlmann, P. (2012) MissForest — non-parametric missing</w:t>
      </w:r>
      <w:r>
        <w:t xml:space="preserve"> </w:t>
      </w:r>
      <w:r>
        <w:t xml:space="preserve">value imputation for mixed-type data.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28, 112–118.</w:t>
      </w:r>
    </w:p>
    <w:p>
      <w:pPr>
        <w:pStyle w:val="BodyText"/>
      </w:pPr>
      <w:r>
        <w:t xml:space="preserve">Stevens, G.C. (1989) The latitudinal gradient in geographical range: how so</w:t>
      </w:r>
      <w:r>
        <w:t xml:space="preserve"> </w:t>
      </w:r>
      <w:r>
        <w:t xml:space="preserve">many species coexist in the tropics.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 </w:t>
      </w:r>
      <w:r>
        <w:t xml:space="preserve">133, 240–256.</w:t>
      </w:r>
    </w:p>
    <w:p>
      <w:pPr>
        <w:pStyle w:val="BodyText"/>
      </w:pPr>
      <w:r>
        <w:t xml:space="preserve">Stuart, S.N., Chanson, J.S., Cox, N.A., Young, B.E., Rodrigues, A.S.L.,</w:t>
      </w:r>
      <w:r>
        <w:t xml:space="preserve"> </w:t>
      </w:r>
      <w:r>
        <w:t xml:space="preserve">Fischman, D.L. &amp; Waller, R.W. (2004) Status and trends of amphibian declines</w:t>
      </w:r>
      <w:r>
        <w:t xml:space="preserve"> </w:t>
      </w:r>
      <w:r>
        <w:t xml:space="preserve">and extinctions worldwide.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306, 1783–1786.</w:t>
      </w:r>
    </w:p>
    <w:p>
      <w:pPr>
        <w:pStyle w:val="BodyText"/>
      </w:pPr>
      <w:r>
        <w:t xml:space="preserve">Sun, Z.-J., Sun, B.-J., Wang, Y.-P. et al. (2025) Environmental and</w:t>
      </w:r>
      <w:r>
        <w:t xml:space="preserve"> </w:t>
      </w:r>
      <w:r>
        <w:t xml:space="preserve">evolutionary factors jointly shape life-history trait diversity of terrestrial</w:t>
      </w:r>
      <w:r>
        <w:t xml:space="preserve"> </w:t>
      </w:r>
      <w:r>
        <w:t xml:space="preserve">vertebrates across China.</w:t>
      </w:r>
      <w:r>
        <w:t xml:space="preserve"> </w:t>
      </w:r>
      <w:r>
        <w:rPr>
          <w:i/>
          <w:iCs/>
        </w:rPr>
        <w:t xml:space="preserve">Zoological Research</w:t>
      </w:r>
      <w:r>
        <w:t xml:space="preserve"> </w:t>
      </w:r>
      <w:r>
        <w:t xml:space="preserve">46, 983–995.</w:t>
      </w:r>
    </w:p>
    <w:p>
      <w:pPr>
        <w:pStyle w:val="BodyText"/>
      </w:pPr>
      <w:r>
        <w:t xml:space="preserve">Sunday, J.M., Bates, A.E. &amp; Dulvy, N.K. (2011) Global analysis of thermal</w:t>
      </w:r>
      <w:r>
        <w:t xml:space="preserve"> </w:t>
      </w:r>
      <w:r>
        <w:t xml:space="preserve">tolerance and latitude in ectotherms.</w:t>
      </w:r>
      <w:r>
        <w:t xml:space="preserve"> </w:t>
      </w:r>
      <w:r>
        <w:rPr>
          <w:i/>
          <w:iCs/>
        </w:rPr>
        <w:t xml:space="preserve">Proceedings of the Royal Society B</w:t>
      </w:r>
      <w:r>
        <w:t xml:space="preserve"> </w:t>
      </w:r>
      <w:r>
        <w:t xml:space="preserve">278, 1823–1830.</w:t>
      </w:r>
    </w:p>
    <w:p>
      <w:pPr>
        <w:pStyle w:val="BodyText"/>
      </w:pPr>
      <w:r>
        <w:t xml:space="preserve">Sunday, J.M., Bates, A.E., Kearney, M.R., Colwell, R.K., Dulvy, N.K.,</w:t>
      </w:r>
      <w:r>
        <w:t xml:space="preserve"> </w:t>
      </w:r>
      <w:r>
        <w:t xml:space="preserve">Longino, J.T. &amp; Huey, R.B. (2014) Thermal-safety margins and the necessity of</w:t>
      </w:r>
      <w:r>
        <w:t xml:space="preserve"> </w:t>
      </w:r>
      <w:r>
        <w:t xml:space="preserve">thermoregulatory behavior across latitude and elevation.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National Academy of Sciences USA</w:t>
      </w:r>
      <w:r>
        <w:t xml:space="preserve"> </w:t>
      </w:r>
      <w:r>
        <w:t xml:space="preserve">111, 5610–5615.</w:t>
      </w:r>
    </w:p>
    <w:p>
      <w:pPr>
        <w:pStyle w:val="BodyText"/>
      </w:pPr>
      <w:r>
        <w:t xml:space="preserve">Swenson, N.G., Enquist, B.J., Pither, J. et al. (2012) The biogeography and</w:t>
      </w:r>
      <w:r>
        <w:t xml:space="preserve"> </w:t>
      </w:r>
      <w:r>
        <w:t xml:space="preserve">filtering of woody plant functional diversity in North and South America.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21, 798–808.</w:t>
      </w:r>
    </w:p>
    <w:p>
      <w:pPr>
        <w:pStyle w:val="BodyText"/>
      </w:pPr>
      <w:r>
        <w:t xml:space="preserve">ter Braak, C.J.F., Cormont, A. &amp; Dray, S. (2012) Improved testing of species</w:t>
      </w:r>
      <w:r>
        <w:t xml:space="preserve"> </w:t>
      </w:r>
      <w:r>
        <w:t xml:space="preserve">traits–environment relationships in the fourth-corner problem.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93,</w:t>
      </w:r>
      <w:r>
        <w:t xml:space="preserve"> </w:t>
      </w:r>
      <w:r>
        <w:t xml:space="preserve">1525–1534.</w:t>
      </w:r>
    </w:p>
    <w:p>
      <w:pPr>
        <w:pStyle w:val="BodyText"/>
      </w:pPr>
      <w:r>
        <w:t xml:space="preserve">Tobias, J.A. et al. (2022) AVONET: morphological, ecological and geographical</w:t>
      </w:r>
      <w:r>
        <w:t xml:space="preserve"> </w:t>
      </w:r>
      <w:r>
        <w:t xml:space="preserve">data for all birds.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25, 581–597.</w:t>
      </w:r>
    </w:p>
    <w:p>
      <w:pPr>
        <w:pStyle w:val="BodyText"/>
      </w:pPr>
      <w:r>
        <w:t xml:space="preserve">Toussaint, A., Brosse, S., Bueno, C.G., Pärtel, M., Tamme, R. &amp; Carmona, C.P.</w:t>
      </w:r>
      <w:r>
        <w:t xml:space="preserve"> </w:t>
      </w:r>
      <w:r>
        <w:t xml:space="preserve">(2021) Extinction of threatened vertebrates will lead to idiosyncratic spatial</w:t>
      </w:r>
      <w:r>
        <w:t xml:space="preserve"> </w:t>
      </w:r>
      <w:r>
        <w:t xml:space="preserve">and taxonomic changes in functional diversity.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12,</w:t>
      </w:r>
      <w:r>
        <w:t xml:space="preserve"> </w:t>
      </w:r>
      <w:r>
        <w:t xml:space="preserve">5162.</w:t>
      </w:r>
    </w:p>
    <w:p>
      <w:pPr>
        <w:pStyle w:val="BodyText"/>
      </w:pPr>
      <w:r>
        <w:t xml:space="preserve">Tuanmu, M.-N. &amp; Jetz, W. (2015) A global, remote sensing-based</w:t>
      </w:r>
      <w:r>
        <w:t xml:space="preserve"> </w:t>
      </w:r>
      <w:r>
        <w:t xml:space="preserve">characterization of terrestrial habitat heterogeneity for biodiversity and</w:t>
      </w:r>
      <w:r>
        <w:t xml:space="preserve"> </w:t>
      </w:r>
      <w:r>
        <w:t xml:space="preserve">ecosystem modelling.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24, 1329–1339.</w:t>
      </w:r>
    </w:p>
    <w:p>
      <w:pPr>
        <w:pStyle w:val="BodyText"/>
      </w:pPr>
      <w:r>
        <w:t xml:space="preserve">Venter, O. et al. (2016) Sixteen years of change in the global terrestrial</w:t>
      </w:r>
      <w:r>
        <w:t xml:space="preserve"> </w:t>
      </w:r>
      <w:r>
        <w:t xml:space="preserve">human footprint and implications for biodiversity conservation.</w:t>
      </w:r>
      <w:r>
        <w:t xml:space="preserve"> </w:t>
      </w:r>
      <w:r>
        <w:rPr>
          <w:i/>
          <w:iCs/>
        </w:rPr>
        <w:t xml:space="preserve">Nature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Communications</w:t>
      </w:r>
      <w:r>
        <w:t xml:space="preserve"> </w:t>
      </w:r>
      <w:r>
        <w:t xml:space="preserve">7, 12558.</w:t>
      </w:r>
    </w:p>
    <w:p>
      <w:pPr>
        <w:pStyle w:val="BodyText"/>
      </w:pPr>
      <w:r>
        <w:t xml:space="preserve">Villéger, S., Mason, N.W.H. &amp; Mouillot, D. (2008) New multidimensional</w:t>
      </w:r>
      <w:r>
        <w:t xml:space="preserve"> </w:t>
      </w:r>
      <w:r>
        <w:t xml:space="preserve">functional diversity indices for a multifaceted framework in functional</w:t>
      </w:r>
      <w:r>
        <w:t xml:space="preserve"> </w:t>
      </w:r>
      <w:r>
        <w:t xml:space="preserve">ecology.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89, 2290–2301.</w:t>
      </w:r>
    </w:p>
    <w:p>
      <w:pPr>
        <w:pStyle w:val="BodyText"/>
      </w:pPr>
      <w:r>
        <w:t xml:space="preserve">Villéger, S., Grenouillet, G. &amp; Brosse, S. (2013) Decomposing functional</w:t>
      </w:r>
      <w:r>
        <w:t xml:space="preserve"> </w:t>
      </w:r>
      <w:r>
        <w:t xml:space="preserve">β-diversity reveals that low functional β-diversity is driven by low</w:t>
      </w:r>
      <w:r>
        <w:t xml:space="preserve"> </w:t>
      </w:r>
      <w:r>
        <w:t xml:space="preserve">functional turnover in European fish assemblages.</w:t>
      </w:r>
      <w:r>
        <w:t xml:space="preserve"> </w:t>
      </w:r>
      <w:r>
        <w:rPr>
          <w:i/>
          <w:iCs/>
        </w:rPr>
        <w:t xml:space="preserve">Global Ecology and</w:t>
      </w:r>
      <w:r>
        <w:rPr>
          <w:i/>
          <w:iCs/>
        </w:rPr>
        <w:t xml:space="preserve"> </w:t>
      </w:r>
      <w:r>
        <w:rPr>
          <w:i/>
          <w:iCs/>
        </w:rPr>
        <w:t xml:space="preserve">Biogeography</w:t>
      </w:r>
      <w:r>
        <w:t xml:space="preserve"> </w:t>
      </w:r>
      <w:r>
        <w:t xml:space="preserve">22, 671–681.</w:t>
      </w:r>
    </w:p>
    <w:p>
      <w:pPr>
        <w:pStyle w:val="BodyText"/>
      </w:pPr>
      <w:r>
        <w:t xml:space="preserve">Violle, C., Navas, M.-L., Vile, D., Kazakou, E., Fortunel, C., Hummel, I. &amp;</w:t>
      </w:r>
      <w:r>
        <w:t xml:space="preserve"> </w:t>
      </w:r>
      <w:r>
        <w:t xml:space="preserve">Garnier, E. (2007) Let the concept of trait be functional!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t xml:space="preserve">116,</w:t>
      </w:r>
      <w:r>
        <w:t xml:space="preserve"> </w:t>
      </w:r>
      <w:r>
        <w:t xml:space="preserve">882–892.</w:t>
      </w:r>
    </w:p>
    <w:p>
      <w:pPr>
        <w:pStyle w:val="BodyText"/>
      </w:pPr>
      <w:r>
        <w:t xml:space="preserve">Violle, C., Reich, P.B., Pacala, S.W., Enquist, B.J. &amp; Kattge, J. (2014) The</w:t>
      </w:r>
      <w:r>
        <w:t xml:space="preserve"> </w:t>
      </w:r>
      <w:r>
        <w:t xml:space="preserve">emergence and promise of functional biogeography.</w:t>
      </w:r>
      <w:r>
        <w:t xml:space="preserve"> </w:t>
      </w:r>
      <w:r>
        <w:rPr>
          <w:i/>
          <w:iCs/>
        </w:rPr>
        <w:t xml:space="preserve">Proceedings of the National</w:t>
      </w:r>
      <w:r>
        <w:rPr>
          <w:i/>
          <w:iCs/>
        </w:rPr>
        <w:t xml:space="preserve"> </w:t>
      </w:r>
      <w:r>
        <w:rPr>
          <w:i/>
          <w:iCs/>
        </w:rPr>
        <w:t xml:space="preserve">Academy of Sciences USA</w:t>
      </w:r>
      <w:r>
        <w:t xml:space="preserve"> </w:t>
      </w:r>
      <w:r>
        <w:t xml:space="preserve">111, 13690–13696.</w:t>
      </w:r>
    </w:p>
    <w:p>
      <w:pPr>
        <w:pStyle w:val="BodyText"/>
      </w:pPr>
      <w:r>
        <w:t xml:space="preserve">Wang, J. et al. (2023) A dataset of the morphological, life-history, and</w:t>
      </w:r>
      <w:r>
        <w:t xml:space="preserve"> </w:t>
      </w:r>
      <w:r>
        <w:t xml:space="preserve">ecological traits of snakes in China.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31, 23126.</w:t>
      </w:r>
      <w:r>
        <w:t xml:space="preserve"> </w:t>
      </w:r>
      <w:r>
        <w:rPr>
          <w:rFonts w:hint="eastAsia"/>
        </w:rPr>
        <w:t xml:space="preserve">[王江等]</w:t>
      </w:r>
    </w:p>
    <w:p>
      <w:pPr>
        <w:pStyle w:val="BodyText"/>
      </w:pPr>
      <w:r>
        <w:t xml:space="preserve">Wright, D.H. (1983) Species-energy theory: an extension of species-area</w:t>
      </w:r>
      <w:r>
        <w:t xml:space="preserve"> </w:t>
      </w:r>
      <w:r>
        <w:t xml:space="preserve">theory.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t xml:space="preserve">41, 496–506.</w:t>
      </w:r>
    </w:p>
    <w:p>
      <w:pPr>
        <w:pStyle w:val="BodyText"/>
      </w:pPr>
      <w:r>
        <w:t xml:space="preserve">Wu, R., Zhang, S., Yu, D.W., Zhao, P., Li, X., Wang, L., Yu, Q., Ma, J., Chen,</w:t>
      </w:r>
      <w:r>
        <w:t xml:space="preserve"> </w:t>
      </w:r>
      <w:r>
        <w:t xml:space="preserve">A. &amp; Long, Y. (2011) Effectiveness of China’s nature reserves in representing</w:t>
      </w:r>
      <w:r>
        <w:t xml:space="preserve"> </w:t>
      </w:r>
      <w:r>
        <w:t xml:space="preserve">ecological diversity.</w:t>
      </w:r>
      <w:r>
        <w:t xml:space="preserve"> </w:t>
      </w:r>
      <w:r>
        <w:rPr>
          <w:i/>
          <w:iCs/>
        </w:rPr>
        <w:t xml:space="preserve">Frontiers in Ecology and the Environment</w:t>
      </w:r>
      <w:r>
        <w:t xml:space="preserve"> </w:t>
      </w:r>
      <w:r>
        <w:t xml:space="preserve">9, 383–389.</w:t>
      </w:r>
    </w:p>
    <w:p>
      <w:pPr>
        <w:pStyle w:val="BodyText"/>
      </w:pPr>
      <w:r>
        <w:t xml:space="preserve">Xu, W. et al. (2017) Strengthening protected areas for biodiversity and</w:t>
      </w:r>
      <w:r>
        <w:t xml:space="preserve"> </w:t>
      </w:r>
      <w:r>
        <w:t xml:space="preserve">ecosystem services in China.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rPr>
          <w:i/>
          <w:iCs/>
        </w:rPr>
        <w:t xml:space="preserve"> </w:t>
      </w:r>
      <w:r>
        <w:rPr>
          <w:i/>
          <w:iCs/>
        </w:rPr>
        <w:t xml:space="preserve">USA</w:t>
      </w:r>
      <w:r>
        <w:t xml:space="preserve"> </w:t>
      </w:r>
      <w:r>
        <w:t xml:space="preserve">114, 1601–1606.</w:t>
      </w:r>
    </w:p>
    <w:p>
      <w:pPr>
        <w:pStyle w:val="BodyText"/>
      </w:pPr>
      <w:r>
        <w:t xml:space="preserve">Zelený, D. (2018) Which results of the standard test for community-weighted</w:t>
      </w:r>
      <w:r>
        <w:t xml:space="preserve"> </w:t>
      </w:r>
      <w:r>
        <w:t xml:space="preserve">mean approach are too optimistic?</w:t>
      </w:r>
      <w:r>
        <w:t xml:space="preserve"> </w:t>
      </w:r>
      <w:r>
        <w:rPr>
          <w:i/>
          <w:iCs/>
        </w:rPr>
        <w:t xml:space="preserve">Journal of Vegetation Science</w:t>
      </w:r>
      <w:r>
        <w:t xml:space="preserve"> </w:t>
      </w:r>
      <w:r>
        <w:t xml:space="preserve">29, 953–966.</w:t>
      </w:r>
    </w:p>
    <w:p>
      <w:pPr>
        <w:pStyle w:val="BodyText"/>
      </w:pPr>
      <w:r>
        <w:t xml:space="preserve">Zhong, Y. et al. (2022) A dataset on the life-history and ecological traits</w:t>
      </w:r>
      <w:r>
        <w:t xml:space="preserve"> </w:t>
      </w:r>
      <w:r>
        <w:t xml:space="preserve">of Chinese lizards.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30, 22071. </w:t>
      </w:r>
      <w:r>
        <w:rPr>
          <w:rFonts w:hint="eastAsia"/>
        </w:rPr>
        <w:t xml:space="preserve">[钟雨茜等]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/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2026-10-10T19:57:25Z</dcterms:created>
  <dcterms:modified xsi:type="dcterms:W3CDTF">2026-10-10T19:57:25Z</dcterms:modified>
</cp:coreProperties>
</file>