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One-sentence summary:</w:t>
      </w:r>
      <w:r>
        <w:t xml:space="preserve"> </w:t>
      </w:r>
      <w:r>
        <w:t xml:space="preserve">The reported decline in bird diversity under China’s solar-expansion policy reflects birdwatching effort,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4</w:t>
      </w:r>
      <w:r>
        <w:t xml:space="preserve">,</w:t>
      </w:r>
      <w:r>
        <w:t xml:space="preserve"> </w:t>
      </w:r>
      <w:r>
        <w:rPr>
          <w:i/>
          <w:iCs/>
        </w:rPr>
        <w:t xml:space="preserve">7</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Part of this gradient surely reflects real differences, because birdwatchers congregate where and when birds are plentiful; two diagnostics nevertheless show that sampling accumulation dominates it. In simulations that hold the community fixed (supplementary materials), checklist-type recording alone reproduces the rise of observed H with effort. And evenness declines monotonically with effort in our reproduction (0.84 at one birder; 0.73 above 100): genuine diversity gradients carry no expectation of ever-declining evenness, whereas lengthening lists add rare species at low counts and depress it mechanically. The authors’ own results carry the same signature: PSI associates with lower observed richness but higher evenness (their table S19), exactly what shorter species lists produce.</w:t>
      </w:r>
    </w:p>
    <w:p>
      <w:pPr>
        <w:pStyle w:val="BodyText"/>
        <w:spacing w:lineRule="auto" w:line="360"/>
      </w:pPr>
      <w:r>
        <w:t xml:space="preserve">The input data are also unvalidated. In record-level platform data held by our own project, every count equals one in 46,997 of 100,313 checklists from 2014–2023 (46.9%; 43.7% in the platform’s raw 2024 delivery, whose count field we verified as genuine abundance). These checklist-type records carry no abundance information: treating every species as one individual inflates the weight of rare species, suppresses true dominants, and drives the Shannon index toward log richness, so nearly half of the raw material measures list length rather than community structure. Corrupted counts also reach the published analysis directly: the Shannon value for Xinhui County in March 2015 is 8 × 10⁻⁷ with four species recorded, against 2.2–2.9 in adjacent months; arithmetically, such a value requires a single species count of at least tens of millions. This entry enters the regression as an observation of the dependent variable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3</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4</w:t>
      </w:r>
      <w:r>
        <w:t xml:space="preserve">–</w:t>
      </w:r>
      <w:r>
        <w:rPr>
          <w:i/>
          <w:iCs/>
        </w:rPr>
        <w:t xml:space="preserve">7</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8</w:t>
      </w:r>
      <w:r>
        <w:t xml:space="preserve">,</w:t>
      </w:r>
      <w:r>
        <w:t xml:space="preserve"> </w:t>
      </w:r>
      <w:r>
        <w:rPr>
          <w:i/>
          <w:iCs/>
        </w:rPr>
        <w:t xml:space="preserve">9</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4</w:t>
      </w:r>
      <w:r>
        <w:t xml:space="preserve">–</w:t>
      </w:r>
      <w:r>
        <w:rPr>
          <w:i/>
          <w:iCs/>
        </w:rPr>
        <w:t xml:space="preserve">7</w:t>
      </w:r>
      <w:r>
        <w:t xml:space="preserve">,</w:t>
      </w:r>
      <w:r>
        <w:t xml:space="preserve"> </w:t>
      </w:r>
      <w:r>
        <w:rPr>
          <w:i/>
          <w:iCs/>
        </w:rPr>
        <w:t xml:space="preserve">9</w:t>
      </w:r>
      <w:r>
        <w:t xml:space="preserve">,</w:t>
      </w:r>
      <w:r>
        <w:t xml:space="preserve"> </w:t>
      </w:r>
      <w:r>
        <w:rPr>
          <w:i/>
          <w:iCs/>
        </w:rPr>
        <w:t xml:space="preserve">10</w:t>
      </w:r>
      <w:r>
        <w:t xml:space="preserve">), whereas abundance-weighted indices such as Shannon additionally require complete checklists, validated counts, and detection-heterogeneity corrections. None of these conditions is met here. The broader caution stands: data defects and fitness for purpose must be established before citizen-science records anchor national-scale causal claims.</w: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p>
    <w:p>
      <w:pPr>
        <w:pStyle w:val="BodyText"/>
        <w:spacing w:lineRule="auto" w:line="360"/>
      </w:pP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openly available at github.com/dingchenchen6/reanalysis-zhang2026-solar-birds; the record-level China Birdwatching Record Center dataset used for species-level verification is archived in the repository’s releases. The full archive will be deposited with a DOI upon acceptance.</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corrupted entry collapses March 2015 to H = 8 × 10</w:t>
      </w:r>
      <w:r>
        <w:rPr>
          <w:vertAlign w:val="superscript"/>
        </w:rPr>
        <w:t xml:space="preserve">−7</w:t>
      </w:r>
      <w:r>
        <w:t xml:space="preserve"> </w:t>
      </w:r>
      <w:r>
        <w:t xml:space="preserve">with four species recorded (adjacent months, 2.2–2.9), a value that arithmetically requires a single species count of at least tens of millions; it enters the regression unfiltered. Eighteen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297306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297306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5334000" cy="2506560"/>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5334000" cy="2506560"/>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2026-08-26T15:30:31Z</dcterms:created>
  <dcterms:modified xsi:type="dcterms:W3CDTF">2026-08-26T15:30:31Z</dcterms:modified>
  <cp:lastModifiedBy>Chenchen Ding</cp:lastModifiedBy>
</cp:coreProperties>
</file>

<file path=docProps/custom.xml><?xml version="1.0" encoding="utf-8"?>
<Properties xmlns="http://schemas.openxmlformats.org/officeDocument/2006/custom-properties" xmlns:vt="http://schemas.openxmlformats.org/officeDocument/2006/docPropsVTypes"/>
</file>