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steep, saturating functions of the number of birdwatchers present (Fig. 1B): county-months with one birder average 15 species (H = 1.90), while those with &gt;100 birders average 142 species (H = 3.60). This is a species-accumulation curve, not a community property. The authors’ own supplementary results carry its signature: PSI associates with lower observed richness but higher evenness (their table S19), the mechanical signature of shorter species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 of 2014–2023 checklists (43.7% in the platform’s raw 2024 delivery, whose count field we verified as genuine abundance); such records carry no usable abundance information and cannot support abundance-weighted indices.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an observation of the dependent variable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precisely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an association unlikely to reflect birdwatcher behaviour.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that indicates differential county trends; and PSI does not predict realized PV area within counties (</w:t>
      </w:r>
      <w:r>
        <w:rPr>
          <w:i/>
          <w:iCs/>
        </w:rPr>
        <w:t xml:space="preserve">P</w:t>
      </w:r>
      <w:r>
        <w:t xml:space="preserve"> </w:t>
      </w:r>
      <w:r>
        <w:t xml:space="preserve">= 0.27), which weakens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Within the authors’ own specification (same data, fixed effects, and clustering), adding ln(birdwatchers) flips the PSI coefficient to +0.0032 (</w:t>
      </w:r>
      <w:r>
        <w:rPr>
          <w:i/>
          <w:iCs/>
        </w:rPr>
        <w:t xml:space="preserve">P</w:t>
      </w:r>
      <w:r>
        <w:t xml:space="preserve"> </w:t>
      </w:r>
      <w:r>
        <w:t xml:space="preserve">= 0.31); adding ln(total hours) or both terms gives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the variance in Shannon diversity, against 31% absorbed by fixed effects (Fig. 2B); the implied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do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whereas abundance-weighted indices such as Shannon additionally require complete checklists, validated counts, and detection-heterogeneity corrections. None of these conditions is met here. We encourage the authors to release the species-level records underlying their indices.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at github.com/dingchenchen6/reanalysis-zhang2026-solar-birds and will be archived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2026-08-26T12:18:10Z</dcterms:created>
  <dcterms:modified xsi:type="dcterms:W3CDTF">2026-08-26T12:18:10Z</dcterms:modified>
  <cp:lastModifiedBy>Chenchen Ding</cp:lastModifiedBy>
  <dc:subject>Technical Comment, Science</dc:subject>
</cp:coreProperties>
</file>

<file path=docProps/custom.xml><?xml version="1.0" encoding="utf-8"?>
<Properties xmlns="http://schemas.openxmlformats.org/officeDocument/2006/custom-properties" xmlns:vt="http://schemas.openxmlformats.org/officeDocument/2006/docPropsVTypes"/>
</file>