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Chenchen Ding</w:t>
      </w:r>
      <w:r>
        <w:rPr>
          <w:vertAlign w:val="superscript"/>
        </w:rPr>
        <w:t xml:space="preserve">1</w:t>
      </w:r>
      <w:r>
        <w:t xml:space="preserve">*</w:t>
      </w:r>
    </w:p>
    <w:p>
      <w:pPr>
        <w:pStyle w:val="BodyText"/>
        <w:spacing w:lineRule="auto" w:line="360"/>
      </w:pPr>
      <w:r>
        <w:rPr>
          <w:vertAlign w:val="superscript"/>
        </w:rPr>
        <w:t xml:space="preserve">1</w:t>
      </w:r>
      <w:r>
        <w:t xml:space="preserve"> </w:t>
      </w:r>
      <w:r>
        <w:t xml:space="preserve">School of Life Sciences and Institute of Ecology, Peking University, Beijing 100871, China.</w:t>
      </w:r>
    </w:p>
    <w:p>
      <w:pPr>
        <w:pStyle w:val="BodyText"/>
        <w:spacing w:lineRule="auto" w:line="360"/>
      </w:pPr>
      <w:r>
        <w:t xml:space="preserve">* Corresponding author. Email: dingchenchen@pku.edu.cn</w:t>
      </w:r>
    </w:p>
    <w:p>
      <w:pPr>
        <w:pStyle w:val="BodyText"/>
        <w:spacing w:lineRule="auto" w:line="360"/>
      </w:pPr>
      <w:r>
        <w:rPr>
          <w:b/>
          <w:bCs/>
        </w:rPr>
        <w:t xml:space="preserve">One-sentence summary:</w:t>
      </w:r>
      <w:r>
        <w:t xml:space="preserve"> </w:t>
      </w:r>
      <w:r>
        <w:t xml:space="preserve">The reported decline in bird diversity under China’s solar-expansion policy reflects birdwatching effort and unvalidated data,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(Research Articles, 21 August 2026)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Citizen-science records reflect a state process (where species occur, in what numbers) filtered through an observation process (who looks, where, when): taxonomic, temporal, and spatial detection biases mean raw records cannot be read as true occupancy or abundance (</w:t>
      </w:r>
      <w:r>
        <w:rPr>
          <w:i/>
          <w:iCs/>
        </w:rPr>
        <w:t xml:space="preserve">5</w:t>
      </w:r>
      <w:r>
        <w:t xml:space="preserve">,</w:t>
      </w:r>
      <w:r>
        <w:t xml:space="preserve"> </w:t>
      </w:r>
      <w:r>
        <w:rPr>
          <w:i/>
          <w:iCs/>
        </w:rPr>
        <w:t xml:space="preserve">8</w:t>
      </w:r>
      <w:r>
        <w:t xml:space="preserve">). The dependent variable here is a Shannon index computed from unstructured birdwatching reports within each county-month. In the estimation sample, 38.8% of county-months rest on a single birdwatcher and the median county is observed in 11 of 120 months (Fig. 1C). Observed richness and Shannon diversity are steep, saturating functions of the number of birdwatchers present (Fig. 1B): county-months with one birder average 15 species (H = 1.90), while those with &gt;100 birders average 142 species (H = 3.60). This is a species-accumulation curve, not a community property. The authors’ own supplementary results carry its signature: PSI associates with lower observed richness but higher evenness (their table S19), the mechanical signature of shorter species lists; in our reproduction, evenness declines monotonically with effort (0.84 at one birder; 0.73 above 100).</w:t>
      </w:r>
    </w:p>
    <w:p>
      <w:pPr>
        <w:pStyle w:val="BodyText"/>
        <w:spacing w:lineRule="auto" w:line="360"/>
      </w:pPr>
      <w:r>
        <w:t xml:space="preserve">The input data are also unvalidated. In record-level platform data held by our own project, every count equals one in 46.9% of 2014–2023 checklists (43.7% in the platform’s raw 2024 delivery, whose count field we verified as genuine abundance), consistent with the 40.5% reported platform-wide by the China Ornithological Society, which also documents impossible counts (</w:t>
      </w:r>
      <w:r>
        <w:rPr>
          <w:i/>
          <w:iCs/>
        </w:rPr>
        <w:t xml:space="preserve">3</w:t>
      </w:r>
      <w:r>
        <w:t xml:space="preserve">). Such records cannot support abundance-weighted indices. At least one such record demonstrably contaminates the published analysis: a single report of 2,147,483,647 little egrets (</w:t>
      </w:r>
      <w:r>
        <w:rPr>
          <w:i/>
          <w:iCs/>
        </w:rPr>
        <w:t xml:space="preserve">Egretta garzetta</w:t>
      </w:r>
      <w:r>
        <w:t xml:space="preserve">; the 32-bit integer maximum) collapses Shannon diversity for Xinhui County in March 2015 to 8 × 10⁻⁷, against 2.2–2.9 in adjacent months, and this value enters the regression as an observation of the dependent variable (Fig. 1D). Eighteen more county-months share this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precisely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w:t>
      </w:r>
      <w:r>
        <w:t xml:space="preserve"> </w:t>
      </w:r>
      <w:r>
        <w:rPr>
          <w:rStyle w:val="VerbatimChar"/>
        </w:rPr>
        <w:t xml:space="preserve">Duration</w:t>
      </w:r>
      <w:r>
        <w:t xml:space="preserve"> </w:t>
      </w:r>
      <w:r>
        <w:t xml:space="preserve">is itself a post-treatment variable, responding to PSI (β = −0.0177,</w:t>
      </w:r>
      <w:r>
        <w:t xml:space="preserve"> </w:t>
      </w:r>
      <w:r>
        <w:rPr>
          <w:i/>
          <w:iCs/>
        </w:rPr>
        <w:t xml:space="preserve">P</w:t>
      </w:r>
      <w:r>
        <w:t xml:space="preserve"> </w:t>
      </w:r>
      <w:r>
        <w:t xml:space="preserve">&lt; 10⁻⁴); conditioning on it is a classic</w:t>
      </w:r>
      <w:r>
        <w:t xml:space="preserve"> </w:t>
      </w:r>
      <w:r>
        <w:t xml:space="preserve">“bad control”</w:t>
      </w:r>
      <w:r>
        <w:t xml:space="preserve"> </w:t>
      </w:r>
      <w:r>
        <w:t xml:space="preserve">(</w:t>
      </w:r>
      <w:r>
        <w:rPr>
          <w:i/>
          <w:iCs/>
        </w:rPr>
        <w:t xml:space="preserve">4</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an association unlikely to reflect birdwatcher behaviour.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that indicates differential county trends; and PSI does not predict realized PV area within counties (</w:t>
      </w:r>
      <w:r>
        <w:rPr>
          <w:i/>
          <w:iCs/>
        </w:rPr>
        <w:t xml:space="preserve">P</w:t>
      </w:r>
      <w:r>
        <w:t xml:space="preserve"> </w:t>
      </w:r>
      <w:r>
        <w:t xml:space="preserve">= 0.27), which weakens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model the observation process explicitly (</w:t>
      </w:r>
      <w:r>
        <w:rPr>
          <w:i/>
          <w:iCs/>
        </w:rPr>
        <w:t xml:space="preserve">5</w:t>
      </w:r>
      <w:r>
        <w:t xml:space="preserve">–</w:t>
      </w:r>
      <w:r>
        <w:rPr>
          <w:i/>
          <w:iCs/>
        </w:rPr>
        <w:t xml:space="preserve">8</w:t>
      </w:r>
      <w:r>
        <w:t xml:space="preserve">). Within the authors’ own specification (same data, fixed effects, and clustering), adding ln(birdwatchers) flips the PSI coefficient to +0.0032 (</w:t>
      </w:r>
      <w:r>
        <w:rPr>
          <w:i/>
          <w:iCs/>
        </w:rPr>
        <w:t xml:space="preserve">P</w:t>
      </w:r>
      <w:r>
        <w:t xml:space="preserve"> </w:t>
      </w:r>
      <w:r>
        <w:t xml:space="preserve">= 0.31); adding ln(total hours) or both terms gives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although the source distinguishes true zeros. Restricting to policy-documented counties yields β = −0.0027 (</w:t>
      </w:r>
      <w:r>
        <w:rPr>
          <w:i/>
          <w:iCs/>
        </w:rPr>
        <w:t xml:space="preserve">P</w:t>
      </w:r>
      <w:r>
        <w:t xml:space="preserve"> </w:t>
      </w:r>
      <w:r>
        <w:t xml:space="preserve">= 0.49). Even taken at face value, PSI adds 0.0003 to the model’s R², or 0.03% of the variance in Shannon diversity, against 31% absorbed by fixed effects (Fig. 2B); the implied one-standard-deviation shift (0.052 on H) is 6.5% of the residual standard deviation (0.80). A statistically significant coefficient of this size, estimated from a contaminated, effort-driven outcome, carries little ecological information (</w:t>
      </w:r>
      <w:r>
        <w:rPr>
          <w:i/>
          <w:iCs/>
        </w:rPr>
        <w:t xml:space="preserve">9</w:t>
      </w:r>
      <w:r>
        <w:t xml:space="preserve">,</w:t>
      </w:r>
      <w:r>
        <w:t xml:space="preserve"> </w:t>
      </w:r>
      <w:r>
        <w:rPr>
          <w:i/>
          <w:iCs/>
        </w:rPr>
        <w:t xml:space="preserve">10</w:t>
      </w:r>
      <w:r>
        <w:t xml:space="preserve">).</w:t>
      </w:r>
    </w:p>
    <w:p>
      <w:pPr>
        <w:pStyle w:val="BodyText"/>
        <w:spacing w:lineRule="auto" w:line="360"/>
      </w:pPr>
      <w:r>
        <w:t xml:space="preserve">To establish what the data do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warrants rigorous impact studies. It shows that this dataset, under this design, cannot detect such an effect in either direction. The subgroup results (no significant effect in desert counties) are already being read as support for concentrating gigawatt-scale development in arid lands, yet deserts are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5</w:t>
      </w:r>
      <w:r>
        <w:t xml:space="preserve">–</w:t>
      </w:r>
      <w:r>
        <w:rPr>
          <w:i/>
          <w:iCs/>
        </w:rPr>
        <w:t xml:space="preserve">8</w:t>
      </w:r>
      <w:r>
        <w:t xml:space="preserve">,</w:t>
      </w:r>
      <w:r>
        <w:t xml:space="preserve"> </w:t>
      </w:r>
      <w:r>
        <w:rPr>
          <w:i/>
          <w:iCs/>
        </w:rPr>
        <w:t xml:space="preserve">10</w:t>
      </w:r>
      <w:r>
        <w:t xml:space="preserve">,</w:t>
      </w:r>
      <w:r>
        <w:t xml:space="preserve"> </w:t>
      </w:r>
      <w:r>
        <w:rPr>
          <w:i/>
          <w:iCs/>
        </w:rPr>
        <w:t xml:space="preserve">11</w:t>
      </w:r>
      <w:r>
        <w:t xml:space="preserve">), whereas abundance-weighted indices such as Shannon additionally require complete checklists, validated counts, and detection-heterogeneity corrections. None of these conditions is met here. We encourage the authors to release the species-level records underlying their indices.</w:t>
      </w:r>
    </w:p>
    <w:p>
      <w:pPr>
        <w:spacing w:lineRule="auto" w:line="360"/>
      </w:pPr>
      <w:r>
        <w:pict>
          <v:rect style="width:0;height:1.5pt" o:hralign="center" o:hrstd="t" o:hr="t"/>
        </w:pic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China Ornithological Society </w:t>
      </w:r>
      <w:r>
        <w:rPr>
          <w:rFonts w:hint="eastAsia"/>
        </w:rPr>
        <w:t xml:space="preserve">(中国动物学会鸟类学分会),</w:t>
      </w:r>
      <w:r>
        <w:t xml:space="preserve"> Using birdwatching data for biodiversity assessment requires attention to data characteristics and applicability (2026); https://mp.weixin.qq.com/s/cDlMUCQXkIHZZ_sBBRdDTw.</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p>
      <w:pPr>
        <w:spacing w:lineRule="auto" w:line="360"/>
      </w:pPr>
      <w:r>
        <w:pict>
          <v:rect style="width:0;height:1.5pt" o:hralign="center" o:hrstd="t" o:hr="t"/>
        </w:pic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r>
        <w:t xml:space="preserve"> </w:t>
      </w:r>
      <w:r>
        <w:rPr>
          <w:b/>
          <w:bCs/>
        </w:rPr>
        <w:t xml:space="preserve">Author contributions:</w:t>
      </w:r>
      <w:r>
        <w:t xml:space="preserve"> </w:t>
      </w:r>
      <w:r>
        <w:t xml:space="preserve">C.D. conceived the reanalysis, performed all analyses, and wrote the manuscript.</w:t>
      </w:r>
      <w:r>
        <w:t xml:space="preserve"> </w:t>
      </w:r>
      <w:r>
        <w:rPr>
          <w:b/>
          <w:bCs/>
        </w:rPr>
        <w:t xml:space="preserve">Competing interests:</w:t>
      </w:r>
      <w:r>
        <w:t xml:space="preserve"> </w:t>
      </w:r>
      <w:r>
        <w:t xml:space="preserve">The author declares no competing interests.</w:t>
      </w:r>
      <w:r>
        <w:t xml:space="preserve"> </w:t>
      </w: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available at github.com/dingchenchen6/reanalysis-zhang2026-solar-birds and will be archived with a DOI upon acceptance. Record-level birdwatching-platform data used for species-level verification are held under a data agreement with the China Birdwatching Record Center; aggregated verification outputs are included in the repository.</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single record of 2,147,483,647 little egrets (the int32 maximum) collapses March 2015 to H = 8 × 10</w:t>
      </w:r>
      <w:r>
        <w:rPr>
          <w:vertAlign w:val="superscript"/>
        </w:rPr>
        <w:t xml:space="preserve">−7</w:t>
      </w:r>
      <w:r>
        <w:t xml:space="preserve">, which enters the regression unfiltered; 18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326432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326432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4866623" cy="5228414"/>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4866623" cy="5228414"/>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 on "China's solar expansion policy reduces bird diversity"</dc:title>
  <dc:creator>Chenchen Ding</dc:creator>
  <cp:keywords/>
  <dcterms:created xsi:type="dcterms:W3CDTF">2026-08-26T12:03:06Z</dcterms:created>
  <dcterms:modified xsi:type="dcterms:W3CDTF">2026-08-26T12:03:06Z</dcterms:modified>
  <cp:lastModifiedBy>Chenchen Ding</cp:lastModifiedBy>
  <dc:subject>Technical Comment, Science</dc:subject>
</cp:coreProperties>
</file>

<file path=docProps/custom.xml><?xml version="1.0" encoding="utf-8"?>
<Properties xmlns="http://schemas.openxmlformats.org/officeDocument/2006/custom-properties" xmlns:vt="http://schemas.openxmlformats.org/officeDocument/2006/docPropsVTypes"/>
</file>