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China’s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The dependent variable is a Shannon index computed from unstructured birdwatching reports within each county-month. In the estimation sample, 38.8% of county-months derive from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pattern is a species-accumulation curve rather than a property of bird communities.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and in 43.7% of the platform’s raw 2024 provincial delivery, in which we verified the count field to be genuine per-species abundance. Both figures are consistent with the 40.5% reported platform-wide by the China Ornithological Society, which also documents impossible counts in the source data (</w:t>
      </w:r>
      <w:r>
        <w:rPr>
          <w:i/>
          <w:iCs/>
        </w:rPr>
        <w:t xml:space="preserve">3</w:t>
      </w:r>
      <w:r>
        <w:t xml:space="preserve">). Such records cannot support abundance-weighted indices. At least one such record demonstrably contaminates the published analysis: a single report of 2,147,483,647 little egrets (</w:t>
      </w:r>
      <w:r>
        <w:rPr>
          <w:i/>
          <w:iCs/>
        </w:rPr>
        <w:t xml:space="preserve">Egretta garzetta</w:t>
      </w:r>
      <w:r>
        <w:t xml:space="preserve">; the 32-bit integer maximum) collapses Shannon diversity for Xinhui County in March 2015 to 8 × 10⁻⁷, against 2.2–2.9 in adjacent months, and this value enters the regression as an observation of the dependent variable (Fig. 1D). Eighteen further county-months share this corruption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 Moreover,</w:t>
      </w:r>
      <w:r>
        <w:t xml:space="preserve"> </w:t>
      </w:r>
      <w:r>
        <w:rPr>
          <w:rStyle w:val="VerbatimChar"/>
        </w:rPr>
        <w:t xml:space="preserve">Duration</w:t>
      </w:r>
      <w:r>
        <w:t xml:space="preserve"> </w:t>
      </w:r>
      <w:r>
        <w:t xml:space="preserve">itself responds to PSI (β = −0.0177,</w:t>
      </w:r>
      <w:r>
        <w:t xml:space="preserve"> </w:t>
      </w:r>
      <w:r>
        <w:rPr>
          <w:i/>
          <w:iCs/>
        </w:rPr>
        <w:t xml:space="preserve">P</w:t>
      </w:r>
      <w:r>
        <w:t xml:space="preserve"> </w:t>
      </w:r>
      <w:r>
        <w:t xml:space="preserve">&lt; 10⁻⁴), making it a</w:t>
      </w:r>
      <w:r>
        <w:t xml:space="preserve"> </w:t>
      </w:r>
      <w:r>
        <w:t xml:space="preserve">“bad control”</w:t>
      </w:r>
      <w:r>
        <w:t xml:space="preserve"> </w:t>
      </w:r>
      <w:r>
        <w:t xml:space="preserve">that conditions on a post-treatment variable (</w:t>
      </w:r>
      <w:r>
        <w:rPr>
          <w:i/>
          <w:iCs/>
        </w:rPr>
        <w:t xml:space="preserve">4</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in the citizen-science literature: model the observation process explicitly (</w:t>
      </w:r>
      <w:r>
        <w:rPr>
          <w:i/>
          <w:iCs/>
        </w:rPr>
        <w:t xml:space="preserve">5</w:t>
      </w:r>
      <w:r>
        <w:t xml:space="preserve">–</w:t>
      </w:r>
      <w:r>
        <w:rPr>
          <w:i/>
          <w:iCs/>
        </w:rPr>
        <w:t xml:space="preserve">8</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even though the source distinguishes true zeros. Restricting the panel to counties actually documented in the policy source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9</w:t>
      </w:r>
      <w:r>
        <w:t xml:space="preserve">,</w:t>
      </w:r>
      <w:r>
        <w:t xml:space="preserve"> </w:t>
      </w:r>
      <w:r>
        <w:rPr>
          <w:i/>
          <w:iCs/>
        </w:rPr>
        <w:t xml:space="preserve">10</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rigorous impact studies are needed. It shows that this dataset, under this design, cannot detect such an effect in either direction. The subgroup results (no significant effect in desert counties) are already being read as support for concentrating gigawatt-scale development in arid lands, yet deserts are precisely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5</w:t>
      </w:r>
      <w:r>
        <w:t xml:space="preserve">–</w:t>
      </w:r>
      <w:r>
        <w:rPr>
          <w:i/>
          <w:iCs/>
        </w:rPr>
        <w:t xml:space="preserve">8</w:t>
      </w:r>
      <w:r>
        <w:t xml:space="preserve">,</w:t>
      </w:r>
      <w:r>
        <w:t xml:space="preserve"> </w:t>
      </w:r>
      <w:r>
        <w:rPr>
          <w:i/>
          <w:iCs/>
        </w:rPr>
        <w:t xml:space="preserve">10</w:t>
      </w:r>
      <w:r>
        <w:t xml:space="preserve">,</w:t>
      </w:r>
      <w:r>
        <w:t xml:space="preserve"> </w:t>
      </w:r>
      <w:r>
        <w:rPr>
          <w:i/>
          <w:iCs/>
        </w:rPr>
        <w:t xml:space="preserve">11</w:t>
      </w:r>
      <w:r>
        <w:t xml:space="preserve">), whereas abundance-weighted indices such as Shannon additionally require complete checklists, validated counts, and detection-heterogeneity corrections. None of these conditions is met here. We encourage the authors to release the species-level records underlying their indices.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China Ornithological Society </w:t>
      </w:r>
      <w:r>
        <w:rPr>
          <w:rFonts w:hint="eastAsia"/>
        </w:rPr>
        <w:t xml:space="preserve">(中国动物学会鸟类学分会),</w:t>
      </w:r>
      <w:r>
        <w:t xml:space="preserve"> Using birdwatching data for biodiversity assessment requires attention to data characteristics and applicability (2026); https://mp.weixin.qq.com/s/cDlMUCQXkIHZZ_sBBRdDTw.</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at github.com/dingchenchen6/reanalysis-zhang2026-solar-birds and will be archived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326432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326432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4866623" cy="5228414"/>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4866623" cy="5228414"/>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2026-08-26T11:13:37Z</dcterms:created>
  <dcterms:modified xsi:type="dcterms:W3CDTF">2026-08-26T11:13:37Z</dcterms:modified>
</cp:coreProperties>
</file>

<file path=docProps/custom.xml><?xml version="1.0" encoding="utf-8"?>
<Properties xmlns="http://schemas.openxmlformats.org/officeDocument/2006/custom-properties" xmlns:vt="http://schemas.openxmlformats.org/officeDocument/2006/docPropsVTypes"/>
</file>