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spacing w:lineRule="auto" w:line="360"/>
      </w:pPr>
      <w:r>
        <w:t xml:space="preserve">Dr. Chenchen Ding</w:t>
      </w:r>
      <w:r>
        <w:t xml:space="preserve"> </w:t>
      </w:r>
      <w:r>
        <w:t xml:space="preserve">School of Life Sciences and Institute of Ecology</w:t>
      </w:r>
      <w:r>
        <w:t xml:space="preserve"> </w:t>
      </w:r>
      <w:r>
        <w:t xml:space="preserve">Peking University, Beijing 100871, China</w:t>
      </w:r>
      <w:r>
        <w:t xml:space="preserve"> </w:t>
      </w:r>
      <w:r>
        <w:t xml:space="preserve">dingchenchen@pku.edu.cn</w:t>
      </w:r>
    </w:p>
    <w:p>
      <w:pPr>
        <w:pStyle w:val="BodyText"/>
        <w:spacing w:lineRule="auto" w:line="360"/>
      </w:pPr>
      <w:r>
        <w:t xml:space="preserve">26 August 2026</w:t>
      </w:r>
    </w:p>
    <w:p>
      <w:pPr>
        <w:pStyle w:val="BodyText"/>
        <w:spacing w:lineRule="auto" w:line="360"/>
      </w:pPr>
      <w:r>
        <w:t xml:space="preserve">Dear Editors,</w:t>
      </w:r>
    </w:p>
    <w:p>
      <w:pPr>
        <w:pStyle w:val="BodyText"/>
        <w:spacing w:lineRule="auto" w:line="360"/>
      </w:pPr>
      <w:r>
        <w:t xml:space="preserve">Please consider the enclosed Technical Comment on</w:t>
      </w:r>
      <w:r>
        <w:t xml:space="preserve"> </w:t>
      </w:r>
      <w:r>
        <w:t xml:space="preserve">“China’s solar expansion policy reduces bird diversity”</w:t>
      </w:r>
      <w:r>
        <w:t xml:space="preserve"> </w:t>
      </w:r>
      <w:r>
        <w:t xml:space="preserve">by H. Zhang</w:t>
      </w:r>
      <w:r>
        <w:t xml:space="preserve"> </w:t>
      </w:r>
      <w:r>
        <w:rPr>
          <w:i/>
          <w:iCs/>
        </w:rPr>
        <w:t xml:space="preserve">et al</w:t>
      </w:r>
      <w:r>
        <w:t xml:space="preserve">. (</w:t>
      </w:r>
      <w:r>
        <w:rPr>
          <w:i/>
          <w:iCs/>
        </w:rPr>
        <w:t xml:space="preserve">Science</w:t>
      </w:r>
      <w:r>
        <w:t xml:space="preserve"> </w:t>
      </w:r>
      <w:r>
        <w:rPr>
          <w:b/>
          <w:bCs/>
        </w:rPr>
        <w:t xml:space="preserve">393</w:t>
      </w:r>
      <w:r>
        <w:t xml:space="preserve">, 831–836, 21 August 2026).</w:t>
      </w:r>
    </w:p>
    <w:p>
      <w:pPr>
        <w:pStyle w:val="BodyText"/>
        <w:spacing w:lineRule="auto" w:line="360"/>
      </w:pPr>
      <w:r>
        <w:t xml:space="preserve">Working entirely from the authors’ public replication package, I first reproduce their preferred estimate exactly and then show that the finding does not withstand scrutiny on three independent grounds:</w:t>
      </w:r>
    </w:p>
    <w:p>
      <w:pPr>
        <w:numPr>
          <w:ilvl w:val="0"/>
          <w:numId w:val="1001"/>
        </w:numPr>
        <w:spacing w:lineRule="auto" w:line="360"/>
      </w:pPr>
      <w:r>
        <w:rPr>
          <w:b/>
          <w:bCs/>
        </w:rPr>
        <w:t xml:space="preserve">Measurement.</w:t>
      </w:r>
      <w:r>
        <w:t xml:space="preserve"> </w:t>
      </w:r>
      <w:r>
        <w:t xml:space="preserve">The county-month Shannon index tracks the observation process rather than bird communities: observed diversity is a steep species-accumulation function of birdwatcher numbers, 38.8% of county-months rest on a single observer, and a physically impossible record of 2,147,483,647 egrets (the 32-bit integer maximum) enters the published outcome variable unfiltered. In record-level platform data held by my group, nearly half of all checklists carry no abundance information.</w:t>
      </w:r>
    </w:p>
    <w:p>
      <w:pPr>
        <w:numPr>
          <w:ilvl w:val="0"/>
          <w:numId w:val="1001"/>
        </w:numPr>
        <w:spacing w:lineRule="auto" w:line="360"/>
      </w:pPr>
      <w:r>
        <w:rPr>
          <w:b/>
          <w:bCs/>
        </w:rPr>
        <w:t xml:space="preserve">Confounding.</w:t>
      </w:r>
      <w:r>
        <w:t xml:space="preserve"> </w:t>
      </w:r>
      <w:r>
        <w:t xml:space="preserve">Birdwatcher numbers grew 171-fold over the study period, in step with policy stringency. The authors’ only effort control is hours per birder, itself a post-treatment variable. Adding a standard total-effort term to their own specification eliminates the effect; treating birdwatcher numbers as a negative-control outcome reveals that even next-year policy</w:t>
      </w:r>
      <w:r>
        <w:t xml:space="preserve"> </w:t>
      </w:r>
      <w:r>
        <w:t xml:space="preserve">“affects”</w:t>
      </w:r>
      <w:r>
        <w:t xml:space="preserve"> </w:t>
      </w:r>
      <w:r>
        <w:t xml:space="preserve">current birdwatchers, a causally impossible pattern indicating differential county trends.</w:t>
      </w:r>
    </w:p>
    <w:p>
      <w:pPr>
        <w:numPr>
          <w:ilvl w:val="0"/>
          <w:numId w:val="1001"/>
        </w:numPr>
        <w:spacing w:lineRule="auto" w:line="360"/>
      </w:pPr>
      <w:r>
        <w:rPr>
          <w:b/>
          <w:bCs/>
        </w:rPr>
        <w:t xml:space="preserve">Inference.</w:t>
      </w:r>
      <w:r>
        <w:t xml:space="preserve"> </w:t>
      </w:r>
      <w:r>
        <w:t xml:space="preserve">PSI is imputed as zero for 43.9% of observations absent from the policy source; restricting to documented counties nullifies the estimate. Across all 36 defensible specifications, every significant negative estimate arises without effort terms, and the corrected design would have detected the published effect with 96% power, yet detects nothing.</w:t>
      </w:r>
    </w:p>
    <w:p>
      <w:pPr>
        <w:pStyle w:val="FirstParagraph"/>
        <w:spacing w:lineRule="auto" w:line="360"/>
      </w:pPr>
      <w:r>
        <w:t xml:space="preserve">The desert-subgroup null in the original article is already being cited in policy discussions as evidence that gigawatt-scale development can safely concentrate in arid lands. Because deserts are where citizen-science coverage is thinnest, I believe a prompt correction of the record has practical conservation consequences.</w:t>
      </w:r>
    </w:p>
    <w:p>
      <w:pPr>
        <w:pStyle w:val="BodyText"/>
        <w:spacing w:lineRule="auto" w:line="360"/>
      </w:pPr>
      <w:r>
        <w:t xml:space="preserve">All code and derived tables are public (github.com/dingchenchen6/reanalysis-zhang2026-solar-birds). I have no competing interests and no prior collaboration or dispute with the authors. Suggested reviewers with relevant expertise include specialists in citizen-science methodology, biodiversity metrics, and panel econometrics; I am happy to provide names on request.</w:t>
      </w:r>
    </w:p>
    <w:p>
      <w:pPr>
        <w:pStyle w:val="BodyText"/>
        <w:spacing w:lineRule="auto" w:line="360"/>
      </w:pPr>
      <w:r>
        <w:t xml:space="preserve">Thank you for your consideration.</w:t>
      </w:r>
    </w:p>
    <w:p>
      <w:pPr>
        <w:pStyle w:val="BodyText"/>
        <w:spacing w:lineRule="auto" w:line="360"/>
      </w:pPr>
      <w:r>
        <w:t xml:space="preserve">Sincerely,</w:t>
      </w:r>
    </w:p>
    <w:p>
      <w:pPr>
        <w:pStyle w:val="BodyText"/>
        <w:spacing w:lineRule="auto" w:line="360"/>
      </w:pPr>
      <w:r>
        <w:t xml:space="preserve">Chenchen Ding</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2026-08-26T11:13:37Z</dcterms:created>
  <dcterms:modified xsi:type="dcterms:W3CDTF">2026-08-26T11:13:37Z</dcterms:modified>
</cp:coreProperties>
</file>

<file path=docProps/custom.xml><?xml version="1.0" encoding="utf-8"?>
<Properties xmlns="http://schemas.openxmlformats.org/officeDocument/2006/custom-properties" xmlns:vt="http://schemas.openxmlformats.org/officeDocument/2006/docPropsVTypes"/>
</file>