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9F3D9">
      <w:pPr>
        <w:pStyle w:val="31"/>
        <w:spacing w:before="560"/>
        <w:jc w:val="center"/>
        <w:rPr>
          <w:color w:val="auto"/>
        </w:rPr>
      </w:pPr>
      <w:r>
        <w:rPr>
          <w:color w:val="auto"/>
        </w:rPr>
        <w:t>A Threat-weighted Camera-trap Vertebrate Intactness Index for China</w:t>
      </w:r>
    </w:p>
    <w:p w14:paraId="40696BED">
      <w:pPr>
        <w:jc w:val="center"/>
        <w:rPr>
          <w:color w:val="auto"/>
        </w:rPr>
      </w:pPr>
      <w:r>
        <w:rPr>
          <w:b/>
          <w:color w:val="auto"/>
          <w:sz w:val="26"/>
        </w:rPr>
        <w:t>Integrating</w:t>
      </w:r>
      <w:r>
        <w:rPr>
          <w:rFonts w:hint="eastAsia" w:eastAsia="宋体"/>
          <w:b/>
          <w:color w:val="auto"/>
          <w:sz w:val="26"/>
          <w:lang w:val="en-US" w:eastAsia="zh-CN"/>
        </w:rPr>
        <w:t xml:space="preserve"> </w:t>
      </w:r>
      <w:r>
        <w:rPr>
          <w:b/>
          <w:color w:val="auto"/>
          <w:sz w:val="26"/>
        </w:rPr>
        <w:t>Historical Distributions</w:t>
      </w:r>
      <w:r>
        <w:rPr>
          <w:rFonts w:hint="eastAsia" w:eastAsia="宋体"/>
          <w:b/>
          <w:color w:val="auto"/>
          <w:sz w:val="26"/>
          <w:lang w:val="en-US" w:eastAsia="zh-CN"/>
        </w:rPr>
        <w:t>,</w:t>
      </w:r>
      <w:r>
        <w:rPr>
          <w:b/>
          <w:color w:val="auto"/>
          <w:sz w:val="26"/>
        </w:rPr>
        <w:t xml:space="preserve">  Contemporary Ecological Surveys and National Red List Assessments to Detect Confirmed Persistence, Silent Ranges, Monitoring Gaps and Hidden Defaunation</w:t>
      </w:r>
    </w:p>
    <w:p w14:paraId="1D1B75F5">
      <w:pPr>
        <w:spacing w:before="360"/>
        <w:jc w:val="center"/>
        <w:rPr>
          <w:color w:val="auto"/>
        </w:rPr>
      </w:pPr>
      <w:r>
        <w:rPr>
          <w:i/>
          <w:color w:val="auto"/>
          <w:sz w:val="22"/>
        </w:rPr>
        <w:t>Short title: Camera-trap-informed vertebrate intactness in China</w:t>
      </w:r>
    </w:p>
    <w:p w14:paraId="3118AA25">
      <w:pPr>
        <w:rPr>
          <w:color w:val="auto"/>
        </w:rPr>
      </w:pPr>
      <w:r>
        <w:rPr>
          <w:color w:val="auto"/>
        </w:rPr>
        <w:br w:type="page"/>
      </w:r>
    </w:p>
    <w:p w14:paraId="081A71F2">
      <w:pPr>
        <w:pStyle w:val="3"/>
        <w:keepNext/>
        <w:spacing w:before="200" w:after="100"/>
        <w:rPr>
          <w:color w:val="auto"/>
        </w:rPr>
      </w:pPr>
      <w:r>
        <w:rPr>
          <w:color w:val="auto"/>
        </w:rPr>
        <w:t>Abstract</w:t>
      </w:r>
    </w:p>
    <w:p w14:paraId="58FBB230">
      <w:pPr>
        <w:spacing w:after="120" w:line="259" w:lineRule="auto"/>
        <w:jc w:val="both"/>
        <w:rPr>
          <w:color w:val="auto"/>
        </w:rPr>
      </w:pPr>
      <w:r>
        <w:rPr>
          <w:rFonts w:ascii="Times New Roman" w:hAnsi="Times New Roman" w:eastAsia="Times New Roman"/>
          <w:sz w:val="22"/>
        </w:rPr>
        <w:t>Biodiversity intactness is often inferred from habitat condition, land-use pressure or coarse distribution maps, yet conservation decisions require more direct evidence that historically expected species still persist in contemporary landscapes. This project proposes a Threat-weighted Camera-trap Vertebrate Intactness Index (TW-CVII) for China by integrating contemporary camera-trap records, complementary community ecological surveys, historical vertebrate distributions and national Red List categories. A major methodological contribution will be the construction of a PREDICTS-style, relational camera-trap evidence database that links study sources, spatial sampling units, camera deployments, image- or event-level observations, effort metrics, abundance proxies, density estimates where defensible, behavioural annotations, environmental covariates and species-level conservation attributes. The framework will classify each species-by-site combination into confirmed persistence, silent range, monitoring gap or newly confirmed occurrence, thereby separating evidence of persistence from possible local loss and from insufficient monitoring. It will further quantify species intactness, detection-corrected intactness, threat-weighted intactness, functional intactness and abundance-proxy intactness. By moving from mapped occurrence to evidence-based persistence, the project will identify where historically expected vertebrate assemblages remain intact, where threatened and functionally important species have become silent or depleted, where monitoring is insufficient for reliable inference and whether protected areas maintain biologically meaningful communities. The outputs will support biodiversity monitoring, protected-area evaluation, Red List reassessment, restoration prioritisation and national reporting under the post-2020 Global Biodiversity Framework.</w:t>
      </w:r>
      <w:r>
        <w:rPr>
          <w:rFonts w:ascii="Times New Roman" w:hAnsi="Times New Roman" w:eastAsia="Times New Roman"/>
          <w:sz w:val="22"/>
        </w:rPr>
        <w:t xml:space="preserve"> By leveraging the rapid expansion of Chinese camera-trap networks (recent national syntheses already index ~85 protected areas and ~8,300 camera stations), TW-CVII will deliver site-level intactness estimates at protected-area, 10 km grid and ecoregion resolutions, with detection uncertainty propagated into all reported indices.</w:t>
      </w:r>
      <w:r>
        <w:t xml:space="preserve"> A further contribution is an explicit literature-to-database-to-manuscript workflow that integrates browser-based searching, Zotero reference management, AI-assisted extraction, OneFind knowledge-base retrieval, reproducible database construction, scripted analysis and citation-audited writing.</w:t>
      </w:r>
    </w:p>
    <w:p w14:paraId="6D8CE4BF">
      <w:pPr>
        <w:pStyle w:val="3"/>
        <w:keepNext/>
        <w:spacing w:before="200" w:after="100"/>
        <w:rPr>
          <w:color w:val="auto"/>
        </w:rPr>
      </w:pPr>
      <w:r>
        <w:rPr>
          <w:color w:val="auto"/>
        </w:rPr>
        <w:t>1. Context and Rationale</w:t>
      </w:r>
    </w:p>
    <w:p w14:paraId="271E0A25">
      <w:pPr>
        <w:pStyle w:val="4"/>
        <w:keepNext/>
        <w:spacing w:before="120" w:after="100"/>
        <w:rPr>
          <w:color w:val="auto"/>
        </w:rPr>
      </w:pPr>
      <w:r>
        <w:rPr>
          <w:color w:val="auto"/>
        </w:rPr>
        <w:t>1.1 The need to move from mapped occurrence to evidence-based persistence</w:t>
      </w:r>
    </w:p>
    <w:p w14:paraId="735D87A8">
      <w:pPr>
        <w:jc w:val="both"/>
        <w:rPr>
          <w:color w:val="auto"/>
        </w:rPr>
      </w:pPr>
      <w:r>
        <w:rPr>
          <w:color w:val="auto"/>
        </w:rPr>
        <w:t>Conservation assessments have traditionally relied on species distribution maps, protected-area overlays, habitat extent and expert-derived species lists. These sources are indispensable, but they often represent accumulated historical knowledge rather than contemporary evidence of population persistence. A species may remain within a published distribution polygon while its local population has become extremely rare, functionally extinct or locally extirpated. Conversely, a lack of recent records may indicate genuine disappearance, but it may also reflect inadequate monitoring or low detectability. This distinction is central to modern conservation biology because population declines, local extirpations and functional losses can precede global extinction by decades and can erode ecosystem processes long before species disappear from national checklists (Redford, 1992; Dirzo et al., 2014; Ceballos et al., 2017; IPBES, 2019).</w:t>
      </w:r>
    </w:p>
    <w:p w14:paraId="00D08826">
      <w:pPr>
        <w:jc w:val="both"/>
        <w:rPr>
          <w:color w:val="auto"/>
        </w:rPr>
      </w:pPr>
      <w:r>
        <w:rPr>
          <w:color w:val="auto"/>
        </w:rPr>
        <w:t>The ecological consequences of vertebrate depletion are especially severe. Large carnivores, large herbivores, seed dispersers, scavengers and ground-dwelling birds contribute to trophic regulation, vegetation dynamics, nutrient cycling, seed dispersal and ecosystem resilience. Their loss can simplify food webs and alter ecological interactions even when vegetation cover remains superficially intact (Estes et al., 2011; Ripple et al., 2014; Dirzo et al., 2014). The concept of the “empty forest” captures this problem: habitats may appear structurally intact but lack the animal communities needed to sustain ecological function (Redford, 1992). Because many vertebrate declines are spatially heterogeneous and taxonomically selective, richness-based indicators alone may underestimate the loss of threatened or functionally important species (Benítez-López et al., 2017; Ceballos et al., 2017).</w:t>
      </w:r>
    </w:p>
    <w:p w14:paraId="36F51F75">
      <w:pPr>
        <w:jc w:val="both"/>
        <w:rPr>
          <w:color w:val="auto"/>
        </w:rPr>
      </w:pPr>
      <w:r>
        <w:rPr>
          <w:color w:val="auto"/>
        </w:rPr>
        <w:t>China is a particularly important system for developing an evidence-based vertebrate intactness framework. The country contains exceptionally diverse mammal, bird, reptile, amphibian and freshwater fish faunas, spans major biogeographic transitions and has experienced rapid land-use change, urbanisation, infrastructure expansion and ecological restoration over recent decades. China has also invested heavily in protected areas, national parks and ecological conservation redlines. These investments have improved habitat protection in many regions, but the key conservation question is no longer only whether habitat or legal protection exists. It is whether historically expected vertebrate assemblages are still supported by contemporary survey evidence, especially for threatened, large-bodied and disturbance-sensitive species (Jiang et al., 2016; Zhang et al., 2020; Ministry of Ecology and Environment &amp; Chinese Academy of Sciences, 2023).</w:t>
      </w:r>
    </w:p>
    <w:p w14:paraId="38A65A63">
      <w:pPr>
        <w:pStyle w:val="4"/>
        <w:keepNext/>
        <w:spacing w:before="120" w:after="100"/>
        <w:rPr>
          <w:color w:val="auto"/>
        </w:rPr>
      </w:pPr>
      <w:r>
        <w:rPr>
          <w:color w:val="auto"/>
        </w:rPr>
        <w:t>1.2 Biodiversity intactness: conceptual foundation and limitations</w:t>
      </w:r>
    </w:p>
    <w:p w14:paraId="117117B9">
      <w:pPr>
        <w:jc w:val="both"/>
        <w:rPr>
          <w:color w:val="auto"/>
        </w:rPr>
      </w:pPr>
      <w:r>
        <w:rPr>
          <w:color w:val="auto"/>
        </w:rPr>
        <w:t>The Biodiversity Intactness Index (BII) provides an influential conceptual foundation for this project. Scholes and Biggs (2005) proposed BII as a policy-relevant measure of how much of a region’s original biodiversity remains under human pressure. Later work using the PREDICTS database extended this approach globally by modelling the average abundance of originally present species relative to their abundance in minimally disturbed or intact ecosystems (Newbold et al., 2015; Newbold et al., 2016; Hudson et al., 2017). BII-like metrics have since become important for assessing land-use impacts, planetary boundaries, forest biodiversity status and biodiversity change under global environmental change (Hill et al., 2019; De Palma et al., 2021).</w:t>
      </w:r>
    </w:p>
    <w:p w14:paraId="3A1EE986">
      <w:pPr>
        <w:jc w:val="both"/>
        <w:rPr>
          <w:color w:val="auto"/>
        </w:rPr>
      </w:pPr>
      <w:r>
        <w:rPr>
          <w:color w:val="auto"/>
        </w:rPr>
        <w:t>Despite their value, conventional BII frameworks have limitations for vertebrate conservation in China. First, many BII estimates are inferred from land-use classes and multi-taxon ecological datasets rather than from direct recent evidence that historically expected vertebrates persist in specific landscapes. Second, standard BII metrics often summarise average abundance across assemblages, which can mask the disproportionate loss of rare, threatened, large-bodied or functionally important species. Third, BII outputs usually do not distinguish a true ecological deficit from insufficient monitoring. A low observed species count may indicate defaunation, but it may also indicate limited survey effort, unsuitable methods or low detection probability. These limitations are particularly important for elusive vertebrates, where non-detection cannot be interpreted as absence without explicit treatment of detectability (MacKenzie et al., 2002; Nichols et al., 2008; Kéry &amp; Royle, 2016).</w:t>
      </w:r>
    </w:p>
    <w:p w14:paraId="07BEDB84">
      <w:pPr>
        <w:jc w:val="both"/>
        <w:rPr>
          <w:color w:val="auto"/>
        </w:rPr>
      </w:pPr>
      <w:r>
        <w:rPr>
          <w:color w:val="auto"/>
        </w:rPr>
        <w:t>This project therefore does not simply apply a conventional BII formula to camera-trap data. Instead, it develops a BII-inspired, survey-informed and threat-weighted vertebrate intactness framework. The central principle is that intactness should be evaluated relative to a historical expectation of species occurrence, but interpreted through contemporary survey evidence, survey adequacy, detection uncertainty and conservation importance. This reframing preserves the policy relevance of BII while making it more appropriate for camera-trappable terrestrial vertebrates and for the realities of heterogeneous monitoring data.</w:t>
      </w:r>
    </w:p>
    <w:p w14:paraId="2A3AA588">
      <w:pPr>
        <w:pStyle w:val="4"/>
        <w:keepNext/>
        <w:spacing w:before="120" w:after="100"/>
        <w:rPr>
          <w:color w:val="auto"/>
        </w:rPr>
      </w:pPr>
      <w:r>
        <w:rPr>
          <w:color w:val="auto"/>
        </w:rPr>
        <w:t>1.3 Why camera traps create a new opportunity</w:t>
      </w:r>
    </w:p>
    <w:p w14:paraId="17A6E084">
      <w:pPr>
        <w:jc w:val="both"/>
        <w:rPr>
          <w:color w:val="auto"/>
        </w:rPr>
      </w:pPr>
      <w:r>
        <w:rPr>
          <w:color w:val="auto"/>
        </w:rPr>
        <w:t>Camera traps have transformed wildlife ecology by providing spatially explicit and time-stamped records of species occurrence, relative activity, community composition and human-wildlife interactions. They are especially powerful for medium- and large-sized terrestrial mammals and ground-dwelling birds, including elusive carnivores, ungulates, pheasants and other species that are difficult to monitor with traditional methods (O’Connell et al., 2011; Burton et al., 2015; Rovero &amp; Zimmermann, 2016). Large camera-trap networks can support biodiversity indicators, occupancy models, relative abundance analyses, behavioural studies and protected-area assessments (O’Brien et al., 2010; Steenweg et al., 2017).</w:t>
      </w:r>
    </w:p>
    <w:p w14:paraId="16126EE4">
      <w:pPr>
        <w:jc w:val="both"/>
        <w:rPr>
          <w:color w:val="auto"/>
        </w:rPr>
      </w:pPr>
      <w:r>
        <w:rPr>
          <w:color w:val="auto"/>
        </w:rPr>
        <w:t>At the same time, camera-trap data require careful interpretation. Detection probability varies with survey effort, camera placement, habitat structure, season, animal movement, body size, activity patterns and local density. Relative abundance indices can be informative but are not equivalent to true density unless strong assumptions are met or additional modelling is used (Rowcliffe et al., 2008; Burton et al., 2015; Sollmann, 2018). Occupancy models and hierarchical community models provide a principled way to separate ecological state from observation processes, particularly when repeated detection-nondetection data are available (MacKenzie et al., 2002; Royle &amp; Nichols, 2003; MacKenzie et al., 2006; Kéry &amp; Royle, 2016).</w:t>
      </w:r>
    </w:p>
    <w:p w14:paraId="5D7F1CA2">
      <w:pPr>
        <w:jc w:val="both"/>
        <w:rPr>
          <w:color w:val="auto"/>
        </w:rPr>
      </w:pPr>
      <w:r>
        <w:rPr>
          <w:color w:val="auto"/>
        </w:rPr>
        <w:t>China now has a rapidly expanding body of camera-trap studies from nature reserves, national parks, biodiversity monitoring networks and local conservation projects. Reviews of camera-trapping in China show that the technology has become a major tool for wildlife monitoring, but that data remain uneven across regions, taxa, survey designs and management contexts (Xiao et al., 2022). At the global scale, a synthesis of camera-trap surveys showed that protected areas play an important role in maintaining mammal diversity, demonstrating the value of distributed camera-trap networks for conservation assessment beyond single-site inventories (Chen et al., 2022). Within China, recent camera-trap syntheses have begun to move from species lists to macroecological inference, including trait-mediated abundance-centre patterns in ground-dwelling mammals and birds and spatial analyses of mammal taxonomic, functional and phylogenetic diversity across Mainland China (Zhang et al., 2026; Liu et al., 2026). These developments make it feasible to move from local camera-trap inventories towards a national evidence system for vertebrate intactness.</w:t>
      </w:r>
    </w:p>
    <w:p w14:paraId="12A5E857">
      <w:pPr>
        <w:pStyle w:val="4"/>
        <w:keepNext/>
        <w:spacing w:before="120" w:after="100"/>
        <w:rPr>
          <w:color w:val="auto"/>
        </w:rPr>
      </w:pPr>
      <w:r>
        <w:rPr>
          <w:color w:val="auto"/>
        </w:rPr>
        <w:t>1.4 Historical distributions, Red List assessments and the risk of hidden defaunation</w:t>
      </w:r>
    </w:p>
    <w:p w14:paraId="1656497A">
      <w:pPr>
        <w:jc w:val="both"/>
        <w:rPr>
          <w:color w:val="auto"/>
        </w:rPr>
      </w:pPr>
      <w:r>
        <w:rPr>
          <w:color w:val="auto"/>
        </w:rPr>
        <w:t>Historical distribution data provide the baseline against which contemporary persistence can be assessed. China has accumulated extensive vertebrate distribution information through faunal monographs, provincial surveys, protected-area scientific expeditions, museum records, literature records and national biodiversity assessments. These data are imperfect, but they are essential for reconstructing historically expected assemblages. Without an explicit historical baseline, contemporary camera-trap detections can only describe what is currently observed; they cannot reveal which historically expected species are missing or uncertain.</w:t>
      </w:r>
      <w:r>
        <w:rPr>
          <w:color w:val="auto"/>
        </w:rPr>
        <w:t xml:space="preserve"> To avoid circularity between expert-extrapolated range polygons and the very persistence inference this project seeks, historical evidence will be stratified into reliability tiers (Tier-1: physical specimens and georeferenced literature points; Tier-2: 1950s–1990s field survey reports and protected-area expedition records; Tier-3: expert-derived range polygons), with main analyses restricted to Tier-1 + Tier-2 and Tier-3 reserved for sensitivity testing.</w:t>
      </w:r>
    </w:p>
    <w:p w14:paraId="5AF638C9">
      <w:pPr>
        <w:jc w:val="both"/>
        <w:rPr>
          <w:color w:val="auto"/>
        </w:rPr>
      </w:pPr>
      <w:r>
        <w:rPr>
          <w:color w:val="auto"/>
        </w:rPr>
        <w:t>Red List assessments provide an additional layer of conservation meaning. The IUCN Red List categories and criteria were designed to provide an objective and widely understood framework for classifying extinction risk (IUCN, 2012). In China, the national Red List of vertebrates was first systematically published in Biodiversity Science and has since been updated by the Ministry of Ecology and Environment and the Chinese Academy of Sciences (Jiang et al., 2016; Ministry of Ecology and Environment &amp; Chinese Academy of Sciences, 2023). The 2020 update covers 4,767 vertebrate species and provides a national basis for distinguishing low-risk, threatened and Data Deficient taxa. Integrating this information into intactness assessment is crucial because the disappearance of a Critically Endangered carnivore should not be treated as equivalent to the non-detection of a widespread Least Concern generalist.</w:t>
      </w:r>
    </w:p>
    <w:p w14:paraId="45C97895">
      <w:pPr>
        <w:jc w:val="both"/>
        <w:rPr>
          <w:color w:val="auto"/>
        </w:rPr>
      </w:pPr>
      <w:r>
        <w:rPr>
          <w:color w:val="auto"/>
        </w:rPr>
        <w:t>Recent evidence illustrates the urgency of integrating historical and contemporary data. A new analysis of China’s protected areas compared historical surveys from the 1950s to 1970s with contemporary camera-trap data and found widespread range contraction of large and medium-sized mammals, with carnivores showing particularly strong losses from historical locations (He et al., 2026). Complementary evidence from protected areas further indicates that apex predator loss can drive trophic downgrading, highlighting that community intactness cannot be assessed only by species richness or habitat presence; it must also consider trophic structure and functional roles (Liu et al., 2025). These findings are consistent with global evidence that large carnivores and large mammals have experienced severe range contractions and are highly vulnerable to hunting, habitat fragmentation, conflict and human disturbance (Ripple et al., 2014; Wolf &amp; Ripple, 2017; Benítez-López et al., 2017). They also demonstrate that protected-area status alone is insufficient evidence of community persistence.</w:t>
      </w:r>
    </w:p>
    <w:p w14:paraId="103C042F">
      <w:pPr>
        <w:jc w:val="both"/>
        <w:rPr>
          <w:color w:val="auto"/>
        </w:rPr>
      </w:pPr>
      <w:r>
        <w:rPr>
          <w:color w:val="auto"/>
        </w:rPr>
        <w:t>The key scientific challenge is therefore to determine which historical species absences in contemporary data represent true ecological concern and which represent insufficient monitoring. A historically expected species that is not detected despite adequate contemporary survey effort may indicate a silent range, possible local extirpation or severe depletion. A historically expected species in an unsurveyed or poorly surveyed area indicates a monitoring gap. These two situations require different conservation responses. Silent ranges require recovery diagnosis, threat reduction or reintroduction assessment, whereas monitoring gaps require targeted surveys before ecological conclusions can be drawn.</w:t>
      </w:r>
    </w:p>
    <w:p w14:paraId="6D7A366B">
      <w:pPr>
        <w:pStyle w:val="4"/>
        <w:keepNext/>
        <w:spacing w:before="120" w:after="100"/>
        <w:rPr>
          <w:color w:val="auto"/>
        </w:rPr>
      </w:pPr>
      <w:r>
        <w:rPr>
          <w:color w:val="auto"/>
        </w:rPr>
        <w:t>1.5 Research gap and project rationale</w:t>
      </w:r>
    </w:p>
    <w:p w14:paraId="5E1CE4FB">
      <w:pPr>
        <w:jc w:val="both"/>
        <w:rPr>
          <w:color w:val="auto"/>
        </w:rPr>
      </w:pPr>
      <w:r>
        <w:rPr>
          <w:color w:val="auto"/>
        </w:rPr>
        <w:t>China currently lacks a national, reproducible and evidence-based framework that integrates contemporary camera-trap data, complementary ecological surveys, historical distributions and Red List categories to evaluate vertebrate community intactness. Existing studies have assessed protected-area coverage, species richness, threatened-species representation, habitat representativeness, camera-trap inventories and local community structure, but these components are rarely connected into a single framework that explicitly compares historical expectation with contemporary evidence while accounting for survey effort, detection uncertainty, threat status and functional role (Zhang et al., 2020; Xiao et al., 2022; Chen et al., 2022; Tseng et al., 2025; He et al., 2026; Liu et al., 2026). Recent work also shows that China’s protected areas contribute unevenly to terrestrial vertebrate habitat conservation, with representativeness varying strongly among species and protected areas, and that species representation targets for protected and conserved area planning require more explicit, species-specific and updateable benchmarks (Tseng et al., 2025; Sreekar &amp; Watson, 2026).</w:t>
      </w:r>
    </w:p>
    <w:p w14:paraId="3CBF95A6">
      <w:r>
        <w:t>Taken together, these recent studies provide essential building blocks but leave a clear integrative gap. Chen et al. (2022) demonstrate the global value of camera-trap networks for protected-area assessment; He et al. (2026) show how historical and contemporary evidence can reveal range contractions in China’s protected areas; Liu et al. (2025, 2026) demonstrate the need to consider trophic, functional and phylogenetic dimensions of mammal communities; Tseng et al. (2025) quantify uneven protected-area contributions to terrestrial vertebrate habitat conservation; and Sreekar and Watson (2026) highlight the need to update species representation targets. The proposed TW-CVII framework synthesises these advances by asking whether historically expected species are currently confirmed by survey evidence, whether non-detections reflect silent ranges or monitoring gaps, and whether protected areas retain threatened and functionally important species rather than simply overlapping broad range maps.</w:t>
      </w:r>
    </w:p>
    <w:p w14:paraId="38F17DA9">
      <w:pPr>
        <w:jc w:val="both"/>
        <w:rPr>
          <w:color w:val="auto"/>
        </w:rPr>
      </w:pPr>
      <w:r>
        <w:rPr>
          <w:color w:val="auto"/>
        </w:rPr>
        <w:t>This project fills that gap by developing a Threat-weighted Camera-trap Vertebrate Intactness Index for China. The framework will classify species-by-site evidence into confirmed persistence, silent range, monitoring gap and newly confirmed occurrence, and will use these classifications to calculate species, detection-corrected, threat-weighted, functional and abundance-proxy dimensions of intactness. The result will be a new tool for identifying where vertebrate communities remain intact, where threatened or functionally important species have become silent, where monitoring is inadequate and where contemporary detections suggest range expansion or historical under-recording.</w:t>
      </w:r>
    </w:p>
    <w:p w14:paraId="67837C44">
      <w:pPr>
        <w:jc w:val="both"/>
        <w:rPr>
          <w:color w:val="auto"/>
        </w:rPr>
      </w:pPr>
      <w:r>
        <w:rPr>
          <w:color w:val="auto"/>
        </w:rPr>
        <w:t>The proposal is grounded in a simple but powerful conservation principle: a species should not be assumed to persist merely because it appears on a historical map, but a lack of contemporary records should not be interpreted as local loss unless survey adequacy and detectability have been considered. This principle allows the project to move beyond static distribution maps and towards evidence-based persistence, while maintaining a cautious and statistically defensible interpretation of non-detection.</w:t>
      </w:r>
    </w:p>
    <w:p w14:paraId="0DFB5A91">
      <w:pPr>
        <w:pStyle w:val="3"/>
        <w:keepNext/>
        <w:spacing w:before="200" w:after="100"/>
        <w:rPr>
          <w:color w:val="auto"/>
        </w:rPr>
      </w:pPr>
      <w:r>
        <w:rPr>
          <w:color w:val="auto"/>
        </w:rPr>
        <w:t>2. Overall Aim and Objectives</w:t>
      </w:r>
    </w:p>
    <w:p w14:paraId="7CD57C49">
      <w:pPr>
        <w:jc w:val="both"/>
        <w:rPr>
          <w:color w:val="auto"/>
        </w:rPr>
      </w:pPr>
      <w:r>
        <w:rPr>
          <w:color w:val="auto"/>
        </w:rPr>
        <w:t>The overall aim is to develop and apply a national-scale, survey-informed and threat-weighted vertebrate intactness framework for China, using contemporary camera-trap records, complementary community ecological surveys, historical distribution baselines and national Red List assessments to evaluate whether historically expected terrestrial vertebrate assemblages still persist as detectable and conservation-relevant communities.</w:t>
      </w:r>
    </w:p>
    <w:p w14:paraId="07CEB8D4">
      <w:pPr>
        <w:spacing w:after="120" w:line="259" w:lineRule="auto"/>
        <w:jc w:val="both"/>
        <w:rPr>
          <w:color w:val="auto"/>
        </w:rPr>
      </w:pPr>
      <w:r>
        <w:rPr>
          <w:rFonts w:ascii="Times New Roman" w:hAnsi="Times New Roman" w:eastAsia="Times New Roman"/>
          <w:sz w:val="22"/>
        </w:rPr>
        <w:t>Objective 1 is to construct a harmonised, PREDICTS-style species-by-site evidence database that links source-level metadata, study design, camera-station and deployment information, precise administrative and geographic location, habitat and elevation, protection status, survey effort, date-resolved detections, independent events, relative abundance indices, density estimates where methodologically defensible, behavioural annotations, complementary ecological survey records, historical distribution baselines, Red List categories, functional traits and environmental covariates.</w:t>
      </w:r>
    </w:p>
    <w:p w14:paraId="7426BCA1">
      <w:pPr>
        <w:jc w:val="both"/>
        <w:rPr>
          <w:color w:val="auto"/>
        </w:rPr>
      </w:pPr>
      <w:r>
        <w:rPr>
          <w:color w:val="auto"/>
        </w:rPr>
        <w:t>Objective 2 is to classify each species-by-site combination into confirmed persistence, silent range, monitoring gap or newly confirmed occurrence, while explicitly distinguishing adequate non-detection from inadequate survey coverage.</w:t>
      </w:r>
    </w:p>
    <w:p w14:paraId="763F601B">
      <w:pPr>
        <w:jc w:val="both"/>
        <w:rPr>
          <w:color w:val="auto"/>
        </w:rPr>
      </w:pPr>
      <w:r>
        <w:rPr>
          <w:color w:val="auto"/>
        </w:rPr>
        <w:t>Objective 3 is to develop a multi-dimensional Threat-weighted Camera-trap Vertebrate Intactness Index that includes species intactness, detection-corrected intactness, threat-weighted intactness, functional intactness and abundance-proxy intactness.</w:t>
      </w:r>
    </w:p>
    <w:p w14:paraId="24452681">
      <w:pPr>
        <w:jc w:val="both"/>
        <w:rPr>
          <w:color w:val="auto"/>
        </w:rPr>
      </w:pPr>
      <w:r>
        <w:rPr>
          <w:color w:val="auto"/>
        </w:rPr>
        <w:t>Objective 4 is to identify hotspots of vertebrate persistence, silent-range risk, hidden defaunation and monitoring deficiency across protected areas, grid cells, ecoregions and mountain systems.</w:t>
      </w:r>
    </w:p>
    <w:p w14:paraId="1719E860">
      <w:pPr>
        <w:jc w:val="both"/>
        <w:rPr>
          <w:color w:val="auto"/>
        </w:rPr>
      </w:pPr>
      <w:r>
        <w:rPr>
          <w:color w:val="auto"/>
        </w:rPr>
        <w:t>Objective 5 is to test whether threatened, large-bodied, carnivorous, habitat-specialist and functionally distinctive species show disproportionate losses of contemporary evidence relative to historical expectations.</w:t>
      </w:r>
    </w:p>
    <w:p w14:paraId="14FA20AC">
      <w:pPr>
        <w:jc w:val="both"/>
        <w:rPr>
          <w:color w:val="auto"/>
        </w:rPr>
      </w:pPr>
      <w:r>
        <w:rPr>
          <w:color w:val="auto"/>
        </w:rPr>
        <w:t>Objective 6 is to evaluate whether protected areas maintain higher threat-weighted and functional vertebrate intactness than comparable non-protected landscapes, after accounting for environmental differences, human pressure and survey effort.</w:t>
      </w:r>
    </w:p>
    <w:p>
      <w:pPr/>
      <w:r>
        <w:rPr>
          <w:b w:val="0"/>
          <w:i w:val="0"/>
        </w:rPr>
        <w:t>Objective 7 is to implement a reproducible, auditable and AI-assisted research workflow that links literature search, authorised full-text acquisition, Zotero-based reference management, PDF extraction, data cleaning, standardised database construction, statistical analysis, figure production and manuscript writing, with human verification gates at each transition.</w:t>
      </w:r>
    </w:p>
    <w:p w14:paraId="408C3A51">
      <w:pPr>
        <w:pStyle w:val="3"/>
        <w:keepNext/>
        <w:spacing w:before="200" w:after="100"/>
        <w:rPr>
          <w:color w:val="auto"/>
        </w:rPr>
      </w:pPr>
      <w:r>
        <w:rPr>
          <w:color w:val="auto"/>
        </w:rPr>
        <w:t>3. Research Questions, Hypotheses and Predictions</w:t>
      </w:r>
    </w:p>
    <w:p w14:paraId="745B1500">
      <w:pPr>
        <w:spacing w:after="120"/>
        <w:jc w:val="both"/>
        <w:rPr>
          <w:color w:val="auto"/>
        </w:rPr>
      </w:pPr>
      <w:r>
        <w:rPr>
          <w:color w:val="auto"/>
        </w:rPr>
        <w:t>RQ1. How well do contemporary surveys confirm the persistence of historically expected terrestrial vertebrates? Hypothesis: historical species pools are only partially supported by recent survey evidence, especially for large-bodied, threatened and disturbance-sensitive species. Prediction: confirmed persistence will be highest for widespread generalists and lowest for threatened carnivores, large ungulates, pheasants and habitat specialists, with the strongest divergence between historical richness and current confirmed richness in densely populated lowlands, fragmented forests and historically hunted landscapes.</w:t>
      </w:r>
    </w:p>
    <w:p w14:paraId="1C2336ED">
      <w:pPr>
        <w:spacing w:after="120"/>
        <w:jc w:val="both"/>
        <w:rPr>
          <w:color w:val="auto"/>
        </w:rPr>
      </w:pPr>
      <w:r>
        <w:rPr>
          <w:color w:val="auto"/>
        </w:rPr>
        <w:t>RQ2. Where are the main silent ranges and monitoring gaps, and can they be separated reliably?</w:t>
      </w:r>
    </w:p>
    <w:p w14:paraId="34B6E115">
      <w:pPr>
        <w:spacing w:after="120"/>
        <w:jc w:val="both"/>
        <w:rPr>
          <w:color w:val="auto"/>
        </w:rPr>
      </w:pPr>
      <w:r>
        <w:rPr>
          <w:color w:val="auto"/>
        </w:rPr>
        <w:t>Hypothesis: non-detection has two distinct meanings, with some historical ranges remaining silent despite adequate survey effort and others remaining uncertain because survey effort is insufficient. Prediction: silent ranges will be concentrated where historical species pools overlap with adequate recent surveys but weak detections of threatened or large-bodied species, whereas monitoring gaps will be concentrated in remote mountains, border regions, under-studied ecological zones and areas containing many Data Deficient species.</w:t>
      </w:r>
    </w:p>
    <w:p w14:paraId="0B8F9A67">
      <w:pPr>
        <w:spacing w:after="120"/>
        <w:jc w:val="both"/>
        <w:rPr>
          <w:color w:val="auto"/>
        </w:rPr>
      </w:pPr>
      <w:r>
        <w:rPr>
          <w:color w:val="auto"/>
        </w:rPr>
        <w:t>RQ3. Do threat-weighted and functional intactness reveal stronger deficits than species richness?</w:t>
      </w:r>
    </w:p>
    <w:p w14:paraId="3E3DD465">
      <w:pPr>
        <w:spacing w:after="120"/>
        <w:jc w:val="both"/>
        <w:rPr>
          <w:color w:val="auto"/>
        </w:rPr>
      </w:pPr>
      <w:r>
        <w:rPr>
          <w:color w:val="auto"/>
        </w:rPr>
        <w:t>Hypothesis: hidden defaunation is taxonomically and functionally selective, so unweighted species intactness will often overestimate conservation condition. Prediction: threat-weighted intactness will be lower than species intactness where CR, EN or VU species are missing, and functional intactness will be especially low where large carnivores, large herbivores, scavengers or ground-dwelling birds are historically expected but currently undetected.</w:t>
      </w:r>
    </w:p>
    <w:p w14:paraId="11C18582">
      <w:pPr>
        <w:spacing w:after="120"/>
        <w:jc w:val="both"/>
        <w:rPr>
          <w:color w:val="auto"/>
        </w:rPr>
      </w:pPr>
      <w:r>
        <w:rPr>
          <w:color w:val="auto"/>
        </w:rPr>
        <w:t>RQ4. Do protected areas maintain historically expected vertebrate assemblages?</w:t>
      </w:r>
    </w:p>
    <w:p w14:paraId="02B0DF35">
      <w:pPr>
        <w:spacing w:after="120"/>
        <w:jc w:val="both"/>
        <w:rPr>
          <w:color w:val="auto"/>
        </w:rPr>
      </w:pPr>
      <w:r>
        <w:rPr>
          <w:color w:val="auto"/>
        </w:rPr>
        <w:t>Hypothesis: protection improves persistence but does not guarantee intactness because historical hunting, edge effects, conflict and insufficient management can leave legacy defaunation. Prediction: protected areas will have higher confirmed persistence on average, but some will show low threat-weighted or functional intactness, with weaker protection effects for wide-ranging carnivores and historically persecuted species than for common forest mammals.</w:t>
      </w:r>
    </w:p>
    <w:p w14:paraId="1BDA8CAE">
      <w:pPr>
        <w:spacing w:after="120"/>
        <w:jc w:val="both"/>
        <w:rPr>
          <w:color w:val="auto"/>
        </w:rPr>
      </w:pPr>
      <w:r>
        <w:rPr>
          <w:color w:val="auto"/>
        </w:rPr>
        <w:t xml:space="preserve">RQ5. Are Red List categories consistent with contemporary survey evidence? </w:t>
      </w:r>
    </w:p>
    <w:p w14:paraId="1292685A">
      <w:pPr>
        <w:spacing w:after="120"/>
        <w:jc w:val="both"/>
        <w:rPr>
          <w:color w:val="auto"/>
        </w:rPr>
      </w:pPr>
      <w:r>
        <w:rPr>
          <w:color w:val="auto"/>
        </w:rPr>
        <w:t>Hypothesis: national Red List categories broadly reflect extinction risk, but some low-risk or Data Deficient species will show weak contemporary evidence and should be prioritised for monitoring. Prediction: CR, EN and VU species will generally show lower confirmed persistence and higher silent-range proportions than LC species, while LC, NT or DD species with unusually low confirmed persistence will emerge as early-warning or monitoring-priority candidates.</w:t>
      </w:r>
    </w:p>
    <w:p w14:paraId="71544337">
      <w:pPr>
        <w:pStyle w:val="3"/>
        <w:keepNext/>
        <w:spacing w:before="200" w:after="100"/>
        <w:rPr>
          <w:color w:val="auto"/>
        </w:rPr>
      </w:pPr>
      <w:r>
        <w:rPr>
          <w:color w:val="auto"/>
        </w:rPr>
        <w:t>4. Conceptual Framework</w:t>
      </w:r>
    </w:p>
    <w:p w14:paraId="182406F2">
      <w:pPr>
        <w:pStyle w:val="4"/>
        <w:keepNext/>
        <w:spacing w:before="120" w:after="100"/>
        <w:rPr>
          <w:color w:val="auto"/>
        </w:rPr>
      </w:pPr>
      <w:r>
        <w:rPr>
          <w:color w:val="auto"/>
        </w:rPr>
        <w:t>4.1 Evidence layers</w:t>
      </w:r>
    </w:p>
    <w:p w14:paraId="3D55A6AC">
      <w:pPr>
        <w:jc w:val="both"/>
        <w:rPr>
          <w:color w:val="auto"/>
        </w:rPr>
      </w:pPr>
      <w:r>
        <w:rPr>
          <w:color w:val="auto"/>
        </w:rPr>
        <w:t>The proposed framework compares three evidence layers. The first is the historical expectation layer, which defines the species historically known or expected to occur in a spatial unit based on distribution maps, faunal records, protected-area surveys, museum records and literature. The second is the contemporary ecological evidence layer, which records whether the species has been detected in recent camera-trap surveys or complementary community surveys, and whether the survey effort was sufficient for inference. The third is the conservation importance layer, which assigns species-level weights based on national Red List status, functional traits, body size, trophic guild, ecological distinctiveness, endemism and data deficiency.</w:t>
      </w:r>
    </w:p>
    <w:p w14:paraId="16A466E9">
      <w:pPr>
        <w:rPr>
          <w:color w:val="auto"/>
        </w:rPr>
      </w:pPr>
      <w:r>
        <w:rPr>
          <w:rFonts w:ascii="Arial" w:hAnsi="Arial" w:eastAsia="Arial"/>
          <w:b w:val="0"/>
          <w:i w:val="0"/>
          <w:color w:val="auto"/>
          <w:sz w:val="21"/>
        </w:rPr>
        <w:t>For each species i in spatial unit j, the analytical matrix will contain historical occurrence expectation Hᵢⱼ, contemporary detection evidence Cᵢⱼ, survey effort Eⱼ, estimated or proxy detection probability pᵢⱼ, Red List weight wᵢ, functional weight qᵢ and spatial covariates Xⱼ. These variables will be analysed jointly so that the current absence of records is interpreted in relation to historical expectation and survey adequacy rather than as a simple absence.</w:t>
      </w:r>
    </w:p>
    <w:p w14:paraId="1A49EF1B">
      <w:pPr>
        <w:pStyle w:val="4"/>
        <w:keepNext/>
        <w:pageBreakBefore/>
        <w:spacing w:before="120" w:after="100"/>
        <w:rPr>
          <w:color w:val="auto"/>
        </w:rPr>
      </w:pPr>
      <w:r>
        <w:rPr>
          <w:color w:val="auto"/>
        </w:rPr>
        <w:t>4.2 Four conservation-relevant evidence states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2C103127">
        <w:trPr>
          <w:tblHeader w:val="true"/>
          <w:jc w:val="center"/>
          <w:cantSplit/>
        </w:trPr>
        <w:tc>
          <w:tcPr>
            <w:tcW w:w="2436" w:type="dxa"/>
            <w:shd w:val="clear" w:color="auto" w:fill="1F4E79"/>
            <w:vAlign w:val="top"/>
          </w:tcPr>
          <w:p w14:paraId="36CAAA2C">
            <w:pPr>
              <w:pStyle w:val="164"/>
              <w:spacing w:before="0" w:after="0" w:line="240" w:lineRule="auto"/>
              <w:jc w:val="left"/>
              <w:rPr>
                <w:color w:val="auto"/>
              </w:rPr>
            </w:pPr>
            <w:r>
              <w:rPr>
                <w:rFonts w:ascii="Times New Roman" w:hAnsi="Times New Roman"/>
                <w:b/>
                <w:color w:val="auto"/>
                <w:sz w:val="17"/>
              </w:rPr>
              <w:t>Evidence state</w:t>
            </w:r>
          </w:p>
        </w:tc>
        <w:tc>
          <w:tcPr>
            <w:tcW w:w="2436" w:type="dxa"/>
            <w:shd w:val="clear" w:color="auto" w:fill="1F4E79"/>
            <w:vAlign w:val="top"/>
          </w:tcPr>
          <w:p w14:paraId="0A28BB92">
            <w:pPr>
              <w:pStyle w:val="164"/>
              <w:spacing w:before="0" w:after="0" w:line="240" w:lineRule="auto"/>
              <w:jc w:val="left"/>
              <w:rPr>
                <w:color w:val="auto"/>
              </w:rPr>
            </w:pPr>
            <w:r>
              <w:rPr>
                <w:rFonts w:ascii="Times New Roman" w:hAnsi="Times New Roman"/>
                <w:b/>
                <w:color w:val="auto"/>
                <w:sz w:val="17"/>
              </w:rPr>
              <w:t>Historical expectation</w:t>
            </w:r>
          </w:p>
        </w:tc>
        <w:tc>
          <w:tcPr>
            <w:tcW w:w="2436" w:type="dxa"/>
            <w:shd w:val="clear" w:color="auto" w:fill="1F4E79"/>
            <w:vAlign w:val="top"/>
          </w:tcPr>
          <w:p w14:paraId="0D82C25E">
            <w:pPr>
              <w:pStyle w:val="164"/>
              <w:spacing w:before="0" w:after="0" w:line="240" w:lineRule="auto"/>
              <w:jc w:val="left"/>
              <w:rPr>
                <w:color w:val="auto"/>
              </w:rPr>
            </w:pPr>
            <w:r>
              <w:rPr>
                <w:rFonts w:ascii="Times New Roman" w:hAnsi="Times New Roman"/>
                <w:b/>
                <w:color w:val="auto"/>
                <w:sz w:val="17"/>
              </w:rPr>
              <w:t>Contemporary evidence</w:t>
            </w:r>
          </w:p>
        </w:tc>
        <w:tc>
          <w:tcPr>
            <w:tcW w:w="2436" w:type="dxa"/>
            <w:shd w:val="clear" w:color="auto" w:fill="1F4E79"/>
            <w:vAlign w:val="top"/>
          </w:tcPr>
          <w:p w14:paraId="4C3477EE">
            <w:pPr>
              <w:pStyle w:val="164"/>
              <w:spacing w:before="0" w:after="0" w:line="240" w:lineRule="auto"/>
              <w:jc w:val="left"/>
              <w:rPr>
                <w:color w:val="auto"/>
              </w:rPr>
            </w:pPr>
            <w:r>
              <w:rPr>
                <w:rFonts w:ascii="Times New Roman" w:hAnsi="Times New Roman"/>
                <w:b/>
                <w:color w:val="auto"/>
                <w:sz w:val="17"/>
              </w:rPr>
              <w:t>Interpretation</w:t>
            </w:r>
          </w:p>
        </w:tc>
      </w:tr>
      <w:tr w14:paraId="24994177">
        <w:trPr>
          <w:jc w:val="center"/>
          <w:cantSplit/>
        </w:trPr>
        <w:tc>
          <w:tcPr>
            <w:tcW w:w="2436" w:type="dxa"/>
            <w:vAlign w:val="top"/>
          </w:tcPr>
          <w:p w14:paraId="768F62B9">
            <w:pPr>
              <w:pStyle w:val="164"/>
              <w:spacing w:before="0" w:after="0" w:line="240" w:lineRule="auto"/>
              <w:jc w:val="left"/>
              <w:rPr>
                <w:color w:val="auto"/>
              </w:rPr>
            </w:pPr>
            <w:r>
              <w:rPr>
                <w:rFonts w:ascii="Times New Roman" w:hAnsi="Times New Roman"/>
                <w:b w:val="0"/>
                <w:color w:val="auto"/>
                <w:sz w:val="16"/>
              </w:rPr>
              <w:t>Confirmed persistence</w:t>
            </w:r>
          </w:p>
        </w:tc>
        <w:tc>
          <w:tcPr>
            <w:tcW w:w="2436" w:type="dxa"/>
            <w:vAlign w:val="top"/>
          </w:tcPr>
          <w:p w14:paraId="09D7D330">
            <w:pPr>
              <w:pStyle w:val="164"/>
              <w:spacing w:before="0" w:after="0" w:line="240" w:lineRule="auto"/>
              <w:jc w:val="left"/>
              <w:rPr>
                <w:color w:val="auto"/>
              </w:rPr>
            </w:pPr>
            <w:r>
              <w:rPr>
                <w:rFonts w:ascii="Times New Roman" w:hAnsi="Times New Roman"/>
                <w:b w:val="0"/>
                <w:color w:val="auto"/>
                <w:sz w:val="16"/>
              </w:rPr>
              <w:t>Historically expected</w:t>
            </w:r>
          </w:p>
        </w:tc>
        <w:tc>
          <w:tcPr>
            <w:tcW w:w="2436" w:type="dxa"/>
            <w:vAlign w:val="top"/>
          </w:tcPr>
          <w:p w14:paraId="026394DB">
            <w:pPr>
              <w:pStyle w:val="164"/>
              <w:spacing w:before="0" w:after="0" w:line="240" w:lineRule="auto"/>
              <w:jc w:val="left"/>
              <w:rPr>
                <w:color w:val="auto"/>
              </w:rPr>
            </w:pPr>
            <w:r>
              <w:rPr>
                <w:rFonts w:ascii="Times New Roman" w:hAnsi="Times New Roman"/>
                <w:b w:val="0"/>
                <w:color w:val="auto"/>
                <w:sz w:val="16"/>
              </w:rPr>
              <w:t>Detected in contemporary surveys</w:t>
            </w:r>
          </w:p>
        </w:tc>
        <w:tc>
          <w:tcPr>
            <w:tcW w:w="2436" w:type="dxa"/>
            <w:vAlign w:val="top"/>
          </w:tcPr>
          <w:p w14:paraId="4D3836E5">
            <w:pPr>
              <w:pStyle w:val="164"/>
              <w:spacing w:before="0" w:after="0" w:line="240" w:lineRule="auto"/>
              <w:jc w:val="left"/>
              <w:rPr>
                <w:color w:val="auto"/>
              </w:rPr>
            </w:pPr>
            <w:r>
              <w:rPr>
                <w:rFonts w:ascii="Times New Roman" w:hAnsi="Times New Roman"/>
                <w:b w:val="0"/>
                <w:color w:val="auto"/>
                <w:sz w:val="16"/>
              </w:rPr>
              <w:t>The species has current evidence of persistence in the spatial unit.</w:t>
            </w:r>
          </w:p>
        </w:tc>
      </w:tr>
      <w:tr w14:paraId="346E8B30">
        <w:trPr>
          <w:jc w:val="center"/>
          <w:cantSplit/>
        </w:trPr>
        <w:tc>
          <w:tcPr>
            <w:tcW w:w="2436" w:type="dxa"/>
            <w:vAlign w:val="top"/>
          </w:tcPr>
          <w:p w14:paraId="66DB3E1E">
            <w:pPr>
              <w:pStyle w:val="164"/>
              <w:spacing w:before="0" w:after="0" w:line="240" w:lineRule="auto"/>
              <w:jc w:val="left"/>
              <w:rPr>
                <w:color w:val="auto"/>
              </w:rPr>
            </w:pPr>
            <w:r>
              <w:rPr>
                <w:rFonts w:ascii="Times New Roman" w:hAnsi="Times New Roman"/>
                <w:b w:val="0"/>
                <w:color w:val="auto"/>
                <w:sz w:val="16"/>
              </w:rPr>
              <w:t>Silent range</w:t>
            </w:r>
          </w:p>
        </w:tc>
        <w:tc>
          <w:tcPr>
            <w:tcW w:w="2436" w:type="dxa"/>
            <w:vAlign w:val="top"/>
          </w:tcPr>
          <w:p w14:paraId="441CAA74">
            <w:pPr>
              <w:pStyle w:val="164"/>
              <w:spacing w:before="0" w:after="0" w:line="240" w:lineRule="auto"/>
              <w:jc w:val="left"/>
              <w:rPr>
                <w:color w:val="auto"/>
              </w:rPr>
            </w:pPr>
            <w:r>
              <w:rPr>
                <w:rFonts w:ascii="Times New Roman" w:hAnsi="Times New Roman"/>
                <w:b w:val="0"/>
                <w:color w:val="auto"/>
                <w:sz w:val="16"/>
              </w:rPr>
              <w:t>Historically expected</w:t>
            </w:r>
          </w:p>
        </w:tc>
        <w:tc>
          <w:tcPr>
            <w:tcW w:w="2436" w:type="dxa"/>
            <w:vAlign w:val="top"/>
          </w:tcPr>
          <w:p w14:paraId="5CEF6EAF">
            <w:pPr>
              <w:pStyle w:val="164"/>
              <w:spacing w:before="0" w:after="0" w:line="240" w:lineRule="auto"/>
              <w:jc w:val="left"/>
              <w:rPr>
                <w:color w:val="auto"/>
              </w:rPr>
            </w:pPr>
            <w:r>
              <w:rPr>
                <w:rFonts w:ascii="Times New Roman" w:hAnsi="Times New Roman"/>
                <w:b w:val="0"/>
                <w:color w:val="auto"/>
                <w:sz w:val="16"/>
              </w:rPr>
              <w:t>Adequately surveyed but not detected</w:t>
            </w:r>
          </w:p>
        </w:tc>
        <w:tc>
          <w:tcPr>
            <w:tcW w:w="2436" w:type="dxa"/>
            <w:vAlign w:val="top"/>
          </w:tcPr>
          <w:p w14:paraId="1AF43710">
            <w:pPr>
              <w:pStyle w:val="164"/>
              <w:spacing w:before="0" w:after="0" w:line="240" w:lineRule="auto"/>
              <w:jc w:val="left"/>
              <w:rPr>
                <w:color w:val="auto"/>
              </w:rPr>
            </w:pPr>
            <w:r>
              <w:rPr>
                <w:rFonts w:ascii="Times New Roman" w:hAnsi="Times New Roman"/>
                <w:b w:val="0"/>
                <w:color w:val="auto"/>
                <w:sz w:val="16"/>
              </w:rPr>
              <w:t>The species may be locally extirpated, severely depleted or undetected despite adequate effort.</w:t>
            </w:r>
          </w:p>
        </w:tc>
      </w:tr>
      <w:tr w14:paraId="7C3B212E">
        <w:trPr>
          <w:jc w:val="center"/>
          <w:cantSplit/>
        </w:trPr>
        <w:tc>
          <w:tcPr>
            <w:tcW w:w="2436" w:type="dxa"/>
            <w:vAlign w:val="top"/>
          </w:tcPr>
          <w:p w14:paraId="7683613B">
            <w:pPr>
              <w:pStyle w:val="164"/>
              <w:spacing w:before="0" w:after="0" w:line="240" w:lineRule="auto"/>
              <w:jc w:val="left"/>
              <w:rPr>
                <w:color w:val="auto"/>
              </w:rPr>
            </w:pPr>
            <w:r>
              <w:rPr>
                <w:rFonts w:ascii="Times New Roman" w:hAnsi="Times New Roman"/>
                <w:b w:val="0"/>
                <w:color w:val="auto"/>
                <w:sz w:val="16"/>
              </w:rPr>
              <w:t>Monitoring gap</w:t>
            </w:r>
          </w:p>
        </w:tc>
        <w:tc>
          <w:tcPr>
            <w:tcW w:w="2436" w:type="dxa"/>
            <w:vAlign w:val="top"/>
          </w:tcPr>
          <w:p w14:paraId="32726FE2">
            <w:pPr>
              <w:pStyle w:val="164"/>
              <w:spacing w:before="0" w:after="0" w:line="240" w:lineRule="auto"/>
              <w:jc w:val="left"/>
              <w:rPr>
                <w:color w:val="auto"/>
              </w:rPr>
            </w:pPr>
            <w:r>
              <w:rPr>
                <w:rFonts w:ascii="Times New Roman" w:hAnsi="Times New Roman"/>
                <w:b w:val="0"/>
                <w:color w:val="auto"/>
                <w:sz w:val="16"/>
              </w:rPr>
              <w:t>Historically expected</w:t>
            </w:r>
          </w:p>
        </w:tc>
        <w:tc>
          <w:tcPr>
            <w:tcW w:w="2436" w:type="dxa"/>
            <w:vAlign w:val="top"/>
          </w:tcPr>
          <w:p w14:paraId="270FB352">
            <w:pPr>
              <w:pStyle w:val="164"/>
              <w:spacing w:before="0" w:after="0" w:line="240" w:lineRule="auto"/>
              <w:jc w:val="left"/>
              <w:rPr>
                <w:color w:val="auto"/>
              </w:rPr>
            </w:pPr>
            <w:r>
              <w:rPr>
                <w:rFonts w:ascii="Times New Roman" w:hAnsi="Times New Roman"/>
                <w:b w:val="0"/>
                <w:color w:val="auto"/>
                <w:sz w:val="16"/>
              </w:rPr>
              <w:t>Not surveyed or insufficiently surveyed</w:t>
            </w:r>
          </w:p>
        </w:tc>
        <w:tc>
          <w:tcPr>
            <w:tcW w:w="2436" w:type="dxa"/>
            <w:vAlign w:val="top"/>
          </w:tcPr>
          <w:p w14:paraId="74C2B917">
            <w:pPr>
              <w:pStyle w:val="164"/>
              <w:spacing w:before="0" w:after="0" w:line="240" w:lineRule="auto"/>
              <w:jc w:val="left"/>
              <w:rPr>
                <w:color w:val="auto"/>
              </w:rPr>
            </w:pPr>
            <w:r>
              <w:rPr>
                <w:rFonts w:ascii="Times New Roman" w:hAnsi="Times New Roman"/>
                <w:b w:val="0"/>
                <w:color w:val="auto"/>
                <w:sz w:val="16"/>
              </w:rPr>
              <w:t>Persistence cannot be inferred and targeted monitoring is required.</w:t>
            </w:r>
          </w:p>
        </w:tc>
      </w:tr>
      <w:tr w14:paraId="73D8AA62">
        <w:trPr>
          <w:jc w:val="center"/>
          <w:cantSplit/>
        </w:trPr>
        <w:tc>
          <w:tcPr>
            <w:tcW w:w="2436" w:type="dxa"/>
            <w:vAlign w:val="top"/>
          </w:tcPr>
          <w:p w14:paraId="20409AB0">
            <w:pPr>
              <w:pStyle w:val="164"/>
              <w:spacing w:before="0" w:after="0" w:line="240" w:lineRule="auto"/>
              <w:jc w:val="left"/>
              <w:rPr>
                <w:color w:val="auto"/>
              </w:rPr>
            </w:pPr>
            <w:r>
              <w:rPr>
                <w:rFonts w:ascii="Times New Roman" w:hAnsi="Times New Roman"/>
                <w:b w:val="0"/>
                <w:color w:val="auto"/>
                <w:sz w:val="16"/>
              </w:rPr>
              <w:t>Newly confirmed occurrence</w:t>
            </w:r>
          </w:p>
        </w:tc>
        <w:tc>
          <w:tcPr>
            <w:tcW w:w="2436" w:type="dxa"/>
            <w:vAlign w:val="top"/>
          </w:tcPr>
          <w:p w14:paraId="052D26A5">
            <w:pPr>
              <w:pStyle w:val="164"/>
              <w:spacing w:before="0" w:after="0" w:line="240" w:lineRule="auto"/>
              <w:jc w:val="left"/>
              <w:rPr>
                <w:color w:val="auto"/>
              </w:rPr>
            </w:pPr>
            <w:r>
              <w:rPr>
                <w:rFonts w:ascii="Times New Roman" w:hAnsi="Times New Roman"/>
                <w:b w:val="0"/>
                <w:color w:val="auto"/>
                <w:sz w:val="16"/>
              </w:rPr>
              <w:t>Not expected under the historical baseline</w:t>
            </w:r>
          </w:p>
        </w:tc>
        <w:tc>
          <w:tcPr>
            <w:tcW w:w="2436" w:type="dxa"/>
            <w:vAlign w:val="top"/>
          </w:tcPr>
          <w:p w14:paraId="050757ED">
            <w:pPr>
              <w:pStyle w:val="164"/>
              <w:spacing w:before="0" w:after="0" w:line="240" w:lineRule="auto"/>
              <w:jc w:val="left"/>
              <w:rPr>
                <w:color w:val="auto"/>
              </w:rPr>
            </w:pPr>
            <w:r>
              <w:rPr>
                <w:rFonts w:ascii="Times New Roman" w:hAnsi="Times New Roman"/>
                <w:b w:val="0"/>
                <w:color w:val="auto"/>
                <w:sz w:val="16"/>
              </w:rPr>
              <w:t>Detected in contemporary surveys</w:t>
            </w:r>
          </w:p>
        </w:tc>
        <w:tc>
          <w:tcPr>
            <w:tcW w:w="2436" w:type="dxa"/>
            <w:vAlign w:val="top"/>
          </w:tcPr>
          <w:p w14:paraId="6CF1689D">
            <w:pPr>
              <w:pStyle w:val="164"/>
              <w:spacing w:before="0" w:after="0" w:line="240" w:lineRule="auto"/>
              <w:jc w:val="left"/>
              <w:rPr>
                <w:color w:val="auto"/>
              </w:rPr>
            </w:pPr>
            <w:r>
              <w:rPr>
                <w:rFonts w:ascii="Times New Roman" w:hAnsi="Times New Roman"/>
                <w:b w:val="0"/>
                <w:color w:val="auto"/>
                <w:sz w:val="16"/>
              </w:rPr>
              <w:t>The record may represent a new distribution record, range expansion, historical under-recording or baseline error.</w:t>
            </w:r>
          </w:p>
        </w:tc>
      </w:tr>
    </w:tbl>
    <w:p w14:paraId="7390257E">
      <w:pPr>
        <w:keepNext/>
        <w:spacing w:after="80"/>
        <w:jc w:val="center"/>
        <w:rPr>
          <w:color w:val="auto"/>
        </w:rPr>
      </w:pPr>
      <w:r>
        <w:rPr>
          <w:i/>
          <w:color w:val="auto"/>
          <w:sz w:val="18"/>
        </w:rPr>
        <w:t>Table 2. Classification of species-by-site evidence states.</w:t>
      </w:r>
    </w:p>
    <w:p w14:paraId="543897CE">
      <w:pPr>
        <w:jc w:val="both"/>
        <w:rPr>
          <w:color w:val="auto"/>
        </w:rPr>
      </w:pPr>
      <w:r>
        <w:rPr>
          <w:color w:val="auto"/>
        </w:rPr>
        <w:t>The distinction between silent range and monitoring gap is the conceptual core of the project. A silent range indicates that contemporary evidence is unexpectedly absent despite adequate monitoring, whereas a monitoring gap indicates that no reliable conclusion can yet be drawn. This distinction reduces the risk of overinterpreting non-detections and makes the outputs directly actionable for conservation planning.</w:t>
      </w:r>
    </w:p>
    <w:p w14:paraId="7A86B83D">
      <w:pPr>
        <w:pStyle w:val="4"/>
        <w:keepNext/>
        <w:spacing w:before="120" w:after="100"/>
        <w:rPr>
          <w:color w:val="auto"/>
        </w:rPr>
      </w:pPr>
      <w:r>
        <w:rPr>
          <w:color w:val="auto"/>
        </w:rPr>
        <w:t>4.3 Index principles</w:t>
      </w:r>
    </w:p>
    <w:p w14:paraId="72A8D9DF">
      <w:pPr>
        <w:rPr>
          <w:color w:val="auto"/>
        </w:rPr>
      </w:pPr>
      <w:r>
        <w:rPr>
          <w:rFonts w:ascii="Arial" w:hAnsi="Arial" w:eastAsia="Arial"/>
          <w:color w:val="auto"/>
          <w:sz w:val="21"/>
        </w:rPr>
        <w:t>The index system will be specified using transparent and non-substitutable components. The Species-level Vertebrate Intactness Index quantifies the proportion of historically expected species that are currently confirmed by survey evidence:</w:t>
      </w:r>
    </w:p>
    <w:p w14:paraId="1840A011">
      <w:pPr>
        <w:jc w:val="center"/>
        <w:rPr>
          <w:color w:val="auto"/>
        </w:rPr>
      </w:pPr>
      <w:r>
        <w:rPr>
          <w:rFonts w:ascii="Cambria Math" w:hAnsi="Cambria Math" w:eastAsia="Cambria Math"/>
          <w:b w:val="0"/>
          <w:color w:val="auto"/>
          <w:sz w:val="23"/>
        </w:rPr>
        <w:t>VIIⱼ = (∑ᵢ Hᵢⱼ Cᵢⱼ) / (∑ᵢ Hᵢⱼ)</w:t>
      </w:r>
    </w:p>
    <w:p w14:paraId="75092F86">
      <w:pPr>
        <w:rPr>
          <w:color w:val="auto"/>
        </w:rPr>
      </w:pPr>
      <w:r>
        <w:rPr>
          <w:rFonts w:ascii="Arial" w:hAnsi="Arial" w:eastAsia="Arial"/>
          <w:b w:val="0"/>
          <w:i w:val="0"/>
          <w:color w:val="auto"/>
          <w:sz w:val="21"/>
        </w:rPr>
        <w:t>Where repeated detection data allow occupancy modelling, detection-corrected intactness will replace binary detection with estimated occupancy probability:</w:t>
      </w:r>
    </w:p>
    <w:p w14:paraId="6EE2FCDC">
      <w:pPr>
        <w:jc w:val="center"/>
        <w:rPr>
          <w:color w:val="auto"/>
        </w:rPr>
      </w:pPr>
      <w:r>
        <w:rPr>
          <w:rFonts w:ascii="Cambria Math" w:hAnsi="Cambria Math" w:eastAsia="Cambria Math"/>
          <w:b w:val="0"/>
          <w:color w:val="auto"/>
          <w:sz w:val="23"/>
        </w:rPr>
        <w:t>DCVIIⱼ = (∑ᵢ Hᵢⱼ ψᵢⱼ) / (∑ᵢ Hᵢⱼ)</w:t>
      </w:r>
    </w:p>
    <w:p w14:paraId="2E825750">
      <w:pPr>
        <w:rPr>
          <w:color w:val="auto"/>
        </w:rPr>
      </w:pPr>
      <w:r>
        <w:rPr>
          <w:rFonts w:ascii="Arial" w:hAnsi="Arial" w:eastAsia="Arial"/>
          <w:b w:val="0"/>
          <w:i w:val="0"/>
          <w:color w:val="auto"/>
          <w:sz w:val="21"/>
        </w:rPr>
        <w:t>The primary proposed index, the Threat-weighted Camera-trap Vertebrate Intactness Index, will weight contemporary persistence by national Red List status:</w:t>
      </w:r>
    </w:p>
    <w:p w14:paraId="41F98CD7">
      <w:pPr>
        <w:jc w:val="center"/>
        <w:rPr>
          <w:color w:val="auto"/>
        </w:rPr>
      </w:pPr>
      <w:r>
        <w:rPr>
          <w:rFonts w:ascii="Cambria Math" w:hAnsi="Cambria Math" w:eastAsia="Cambria Math"/>
          <w:b w:val="0"/>
          <w:color w:val="auto"/>
          <w:sz w:val="23"/>
        </w:rPr>
        <w:t>TW-CVIIⱼ = (∑ᵢ wᵢ Hᵢⱼ Cᵢⱼ) / (∑ᵢ wᵢ Hᵢⱼ)</w:t>
      </w:r>
    </w:p>
    <w:p w14:paraId="2936AE9B">
      <w:pPr>
        <w:rPr>
          <w:color w:val="auto"/>
        </w:rPr>
      </w:pPr>
      <w:r>
        <w:rPr>
          <w:rFonts w:ascii="Arial" w:hAnsi="Arial" w:eastAsia="Arial"/>
          <w:b w:val="0"/>
          <w:i w:val="0"/>
          <w:color w:val="auto"/>
          <w:sz w:val="21"/>
        </w:rPr>
        <w:t>Functional intactness will weight persistence by functional importance or trait-space contribution:</w:t>
      </w:r>
    </w:p>
    <w:p w14:paraId="261EA27C">
      <w:pPr>
        <w:jc w:val="center"/>
        <w:rPr>
          <w:color w:val="auto"/>
        </w:rPr>
      </w:pPr>
      <w:r>
        <w:rPr>
          <w:rFonts w:ascii="Cambria Math" w:hAnsi="Cambria Math" w:eastAsia="Cambria Math"/>
          <w:b w:val="0"/>
          <w:color w:val="auto"/>
          <w:sz w:val="23"/>
        </w:rPr>
        <w:t>FCVIIⱼ = (∑ᵢ qᵢ Hᵢⱼ Cᵢⱼ) / (∑ᵢ qᵢ Hᵢⱼ)</w:t>
      </w:r>
    </w:p>
    <w:p w14:paraId="037987A7">
      <w:pPr>
        <w:rPr>
          <w:color w:val="auto"/>
        </w:rPr>
      </w:pPr>
      <w:r>
        <w:rPr>
          <w:rFonts w:ascii="Arial" w:hAnsi="Arial" w:eastAsia="Arial"/>
          <w:b w:val="0"/>
          <w:i w:val="0"/>
          <w:color w:val="auto"/>
          <w:sz w:val="21"/>
        </w:rPr>
        <w:t>When relative abundance or independent detection rates are sufficiently standardised, abundance-proxy intactness will be calculated as:</w:t>
      </w:r>
    </w:p>
    <w:p w14:paraId="7077FEE1">
      <w:pPr>
        <w:jc w:val="center"/>
        <w:rPr>
          <w:color w:val="auto"/>
        </w:rPr>
      </w:pPr>
      <w:r>
        <w:rPr>
          <w:rFonts w:ascii="Cambria Math" w:hAnsi="Cambria Math" w:eastAsia="Cambria Math"/>
          <w:b w:val="0"/>
          <w:color w:val="auto"/>
          <w:sz w:val="23"/>
        </w:rPr>
        <w:t>ACVIIⱼ = [∑ᵢ wᵢ Hᵢⱼ Aᵢⱼ(current)] / [∑ᵢ wᵢ Hᵢⱼ Aᵢⱼ(baseline)]</w:t>
      </w:r>
    </w:p>
    <w:p w14:paraId="1ABD9327">
      <w:pPr>
        <w:rPr>
          <w:color w:val="auto"/>
        </w:rPr>
      </w:pPr>
      <w:r>
        <w:rPr>
          <w:rFonts w:ascii="Arial" w:hAnsi="Arial" w:eastAsia="Arial"/>
          <w:b w:val="0"/>
          <w:i w:val="0"/>
          <w:color w:val="auto"/>
          <w:sz w:val="21"/>
        </w:rPr>
        <w:t>Here, Hᵢⱼ indicates whether species i is historically expected in spatial unit j, Cᵢⱼ indicates contemporary confirmed detection, ψᵢⱼ is estimated occupancy probability, wᵢ is the Red List threat weight, qᵢ is the functional weight, and Aᵢⱼ(current) and Aᵢⱼ(baseline) denote standardised current and baseline abundance proxies. The abundance-proxy metric will be interpreted cautiously and will not be presented as true population density.</w:t>
      </w:r>
      <w:r>
        <w:rPr>
          <w:color w:val="auto"/>
        </w:rPr>
        <w:t xml:space="preserve"> Detection uncertainty will be propagated into all five indices by reporting 95% credible intervals derived from species-level occupancy posteriors; the binary detection formulation of TW-CVII will be reserved for spatial units where occupancy estimation is not feasible and clearly flagged as such.</w:t>
      </w:r>
    </w:p>
    <w:p w14:paraId="464ADBDD">
      <w:pPr>
        <w:jc w:val="both"/>
        <w:rPr>
          <w:color w:val="auto"/>
        </w:rPr>
      </w:pPr>
      <w:r>
        <w:rPr>
          <w:color w:val="auto"/>
        </w:rPr>
        <w:t>The framework is designed to produce a multi-dimensional intactness profile rather than a single score. Each spatial unit will be characterised by species intactness, detection-corrected intactness, threat-weighted intactness, functional intactness, abundance-proxy intactness, silent-range proportion, monitoring-gap proportion and newly confirmed occurrence proportion. This design is more informative than a single BII-like number because it can identify regions that are species-rich but threat-depleted, legally protected but functionally simplified, or potentially important but poorly monitored.</w:t>
      </w:r>
    </w:p>
    <w:p w14:paraId="02D3313D">
      <w:pPr>
        <w:pStyle w:val="3"/>
        <w:keepNext/>
        <w:spacing w:before="200" w:after="100"/>
        <w:rPr>
          <w:color w:val="auto"/>
        </w:rPr>
      </w:pPr>
      <w:r>
        <w:rPr>
          <w:color w:val="auto"/>
        </w:rPr>
        <w:t>5. Study System and Data Sources</w:t>
      </w:r>
    </w:p>
    <w:p w14:paraId="48AF130C">
      <w:pPr>
        <w:pStyle w:val="4"/>
        <w:keepNext/>
        <w:spacing w:before="120" w:after="100"/>
        <w:rPr>
          <w:color w:val="auto"/>
        </w:rPr>
      </w:pPr>
      <w:r>
        <w:rPr>
          <w:color w:val="auto"/>
        </w:rPr>
        <w:t>5.1 Taxonomic and spatial scope</w:t>
      </w:r>
    </w:p>
    <w:p w14:paraId="4674781C">
      <w:pPr>
        <w:jc w:val="both"/>
        <w:rPr>
          <w:color w:val="auto"/>
        </w:rPr>
      </w:pPr>
      <w:r>
        <w:rPr>
          <w:color w:val="auto"/>
        </w:rPr>
        <w:t>The primary taxonomic scope will be camera-trappable terrestrial vertebrates, especially medium- and large-sized terrestrial mammals and ground-dwelling birds. This scope is necessary because camera traps do not detect arboreal, volant, aquatic, very small-bodied or highly cryptic taxa with equal efficiency. Where complementary survey data are available, the framework can be expanded to include additional vertebrate groups, but all taxon-specific limitations will be stated explicitly. The spatial analyses will be conducted at multiple resolutions, including protected areas, regular grid cells such as 10 km × 10 km or 25 km × 25 km cells, ecoregions, mountain systems and biogeographic regions. Protected areas will be the main management unit, while grid cells will support spatial prediction and hotspot mapping.</w:t>
      </w:r>
    </w:p>
    <w:p w14:paraId="5875A671">
      <w:pPr>
        <w:pStyle w:val="4"/>
        <w:keepNext/>
        <w:spacing w:before="120" w:after="100"/>
        <w:rPr>
          <w:color w:val="auto"/>
        </w:rPr>
      </w:pPr>
      <w:r>
        <w:rPr>
          <w:color w:val="auto"/>
        </w:rPr>
        <w:t>5.2 Contemporary camera-trap and community survey evidence</w:t>
      </w:r>
    </w:p>
    <w:p w14:paraId="376DD44B">
      <w:pPr>
        <w:spacing w:after="120" w:line="259" w:lineRule="auto"/>
        <w:jc w:val="both"/>
        <w:rPr>
          <w:color w:val="auto"/>
        </w:rPr>
      </w:pPr>
      <w:r>
        <w:rPr>
          <w:rFonts w:ascii="Times New Roman" w:hAnsi="Times New Roman" w:eastAsia="Times New Roman"/>
          <w:sz w:val="22"/>
        </w:rPr>
        <w:t>The contemporary evidence layer will be compiled from peer-reviewed camera-trap studies, monitoring datasets, protected-area surveys, national park inventories and available project data. The database will follow the logic of PREDICTS, which separates source or study identity, sampling location, sampling effort, site-level environmental conditions and taxon-by-site biodiversity measurements, while adapting this structure to camera-trap data by adding deployment-level, media-level and observation-level records. It will also follow recent camera-trap data standards, including explicit deployment, media and observation tables, so that raw images, independent detection events, sampling effort and derived ecological metrics can be traced reproducibly. Building on global and Chinese camera-trap syntheses, historical-current protected-area comparisons and recent habitat-representation analyses, the database will retain sufficient detail to support occupancy modelling, relative abundance and density summaries, functional and phylogenetic diversity metrics, trophic-structure indicators, protected-area contribution metrics and representation-gap analyses (Chen et al., 2022; He et al., 2026; Liu et al., 2025; Liu et al., 2026; Tseng et al., 2025). For each survey, the extracted information will include species identity, study source, province, prefecture or city, county, protected-area name and category, coordinates and coordinate precision, habitat type, elevation, sampling dates, number of camera stations, deployment duration, active days, camera-days, malfunction days, independent detections, detection-nondetection histories, RAI, density estimates where available, sex and age class where identifiable, group size, behaviour, activity time, human records, livestock records, domestic dog records and data-quality flags.</w:t>
      </w:r>
    </w:p>
    <w:p w14:paraId="02D24820">
      <w:pPr>
        <w:jc w:val="both"/>
        <w:rPr>
          <w:color w:val="auto"/>
        </w:rPr>
      </w:pPr>
      <w:r>
        <w:rPr>
          <w:color w:val="auto"/>
        </w:rPr>
        <w:t>Complementary community ecological surveys will be incorporated as additional evidence layers rather than merged uncritically with camera-trap detections. These surveys may include line transects, point counts, sign surveys, acoustic surveys, environmental DNA records, local fauna inventories, protected-area scientific expedition reports and expert-validated occurrence records. Their main role will be to support sensitivity analyses, validate uncertain classifications and reduce false inference of silent ranges for taxa that are poorly detected by cameras.</w:t>
      </w:r>
    </w:p>
    <w:p w14:paraId="75FE8029">
      <w:pPr>
        <w:pStyle w:val="5"/>
        <w:keepNext/>
        <w:spacing w:after="120" w:line="259" w:lineRule="auto"/>
      </w:pPr>
      <w:r>
        <w:rPr>
          <w:rFonts w:ascii="Times New Roman" w:hAnsi="Times New Roman" w:eastAsia="Times New Roman"/>
          <w:sz w:val="22"/>
        </w:rPr>
        <w:t>5.2.1 PREDICTS-style relational database architecture</w:t>
      </w:r>
    </w:p>
    <w:p w14:paraId="1F36EC41">
      <w:pPr>
        <w:spacing w:after="120" w:line="259" w:lineRule="auto"/>
      </w:pPr>
      <w:r>
        <w:rPr>
          <w:rFonts w:ascii="Times New Roman" w:hAnsi="Times New Roman" w:eastAsia="Times New Roman"/>
          <w:sz w:val="22"/>
        </w:rPr>
        <w:t>The core database will be organised as a relational evidence system rather than a single flat table. The guiding hierarchy will be source or study, spatial sampling unit, camera station, camera deployment, media or image sequence, independent observation event and species-by-site summary. This mirrors the nested design of PREDICTS, in which biodiversity measurements are linked to study-level methods, site-level environmental descriptors and sampling effort, while incorporating the specific requirements of camera-trap ecology. The He et al. protected-area study provides an important empirical template because it links historical investigations from the 1950s to the 1970s with contemporary camera-trap surveys between 2008 and 2021 across 85 protected areas and 8,300 camera traps to infer range contraction for 82 large- and medium-bodied mammals. The Chen et al. global synthesis shows how multi-country camera-trap datasets can be used to evaluate the conservation value of protected areas, whereas the Liu et al. studies show that Chinese camera-trap data can support trophic and multidimensional diversity analyses, including apex predator loss, trophic downgrading, and taxonomic, functional and phylogenetic diversity gradients (Chen et al., 2022; Liu et al., 2025; Liu et al., 2026). The proposed TW-CVII database will generalise this logic from protected-area mammal comparisons to a broader, updateable national evidence system for vertebrate intactness.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4697"/>
        <w:gridCol w:w="3270"/>
      </w:tblGrid>
      <w:tr w14:paraId="7A0FA0B3">
        <w:trPr>
          <w:tblHeader w:val="true"/>
          <w:jc w:val="center"/>
          <w:cantSplit/>
        </w:trPr>
        <w:tc>
          <w:tcPr>
            <w:tcW w:w="2016" w:type="dxa"/>
            <w:vAlign w:val="top"/>
          </w:tcPr>
          <w:p w14:paraId="237A5EF2">
            <w:pPr>
              <w:spacing w:before="0" w:after="0" w:line="240" w:lineRule="auto"/>
              <w:jc w:val="left"/>
            </w:pPr>
            <w:r>
              <w:rPr>
                <w:rFonts w:ascii="Times New Roman" w:hAnsi="Times New Roman" w:eastAsia="Times New Roman"/>
                <w:b/>
                <w:sz w:val="17"/>
              </w:rPr>
              <w:t>Database layer</w:t>
            </w:r>
          </w:p>
        </w:tc>
        <w:tc>
          <w:tcPr>
            <w:tcW w:w="4752" w:type="dxa"/>
            <w:vAlign w:val="top"/>
          </w:tcPr>
          <w:p w14:paraId="2B9F234E">
            <w:pPr>
              <w:spacing w:before="0" w:after="0" w:line="240" w:lineRule="auto"/>
              <w:jc w:val="left"/>
            </w:pPr>
            <w:r>
              <w:rPr>
                <w:rFonts w:ascii="Times New Roman" w:hAnsi="Times New Roman" w:eastAsia="Times New Roman"/>
                <w:b/>
                <w:sz w:val="17"/>
              </w:rPr>
              <w:t>Core fields and metrics to be recorded</w:t>
            </w:r>
          </w:p>
        </w:tc>
        <w:tc>
          <w:tcPr>
            <w:tcW w:w="3312" w:type="dxa"/>
            <w:vAlign w:val="top"/>
          </w:tcPr>
          <w:p w14:paraId="308E6009">
            <w:pPr>
              <w:spacing w:before="0" w:after="0" w:line="240" w:lineRule="auto"/>
              <w:jc w:val="left"/>
            </w:pPr>
            <w:r>
              <w:rPr>
                <w:rFonts w:ascii="Times New Roman" w:hAnsi="Times New Roman" w:eastAsia="Times New Roman"/>
                <w:b/>
                <w:sz w:val="17"/>
              </w:rPr>
              <w:t>Role in TW-CVII analysis</w:t>
            </w:r>
          </w:p>
        </w:tc>
      </w:tr>
      <w:tr w14:paraId="756CC8A2">
        <w:trPr>
          <w:jc w:val="center"/>
          <w:cantSplit/>
        </w:trPr>
        <w:tc>
          <w:tcPr>
            <w:tcW w:w="2016" w:type="dxa"/>
            <w:vAlign w:val="top"/>
          </w:tcPr>
          <w:p w14:paraId="4C05C4D4">
            <w:pPr>
              <w:spacing w:before="0" w:after="0" w:line="240" w:lineRule="auto"/>
              <w:jc w:val="left"/>
            </w:pPr>
            <w:r>
              <w:rPr>
                <w:rFonts w:ascii="Times New Roman" w:hAnsi="Times New Roman" w:eastAsia="Times New Roman"/>
                <w:sz w:val="16"/>
              </w:rPr>
              <w:t>Source and study table</w:t>
            </w:r>
          </w:p>
        </w:tc>
        <w:tc>
          <w:tcPr>
            <w:tcW w:w="4752" w:type="dxa"/>
            <w:vAlign w:val="top"/>
          </w:tcPr>
          <w:p w14:paraId="6730956E">
            <w:pPr>
              <w:spacing w:before="0" w:after="0" w:line="240" w:lineRule="auto"/>
              <w:jc w:val="left"/>
            </w:pPr>
            <w:r>
              <w:rPr>
                <w:rFonts w:ascii="Times New Roman" w:hAnsi="Times New Roman" w:eastAsia="Times New Roman"/>
                <w:sz w:val="16"/>
              </w:rPr>
              <w:t>source_id, study_id, citation, data provider, survey objective, taxonomic scope, study period, sampling design, target taxa, independence threshold, data-access status, quality-control flag, licence or permission, uncertainty notes</w:t>
            </w:r>
          </w:p>
        </w:tc>
        <w:tc>
          <w:tcPr>
            <w:tcW w:w="3312" w:type="dxa"/>
            <w:vAlign w:val="top"/>
          </w:tcPr>
          <w:p w14:paraId="5A242490">
            <w:pPr>
              <w:spacing w:before="0" w:after="0" w:line="240" w:lineRule="auto"/>
              <w:jc w:val="left"/>
            </w:pPr>
            <w:r>
              <w:rPr>
                <w:rFonts w:ascii="Times New Roman" w:hAnsi="Times New Roman" w:eastAsia="Times New Roman"/>
                <w:sz w:val="16"/>
              </w:rPr>
              <w:t>Preserves provenance, prevents duplicated evidence, allows study-level random effects and enables transparent data reuse.</w:t>
            </w:r>
          </w:p>
        </w:tc>
      </w:tr>
      <w:tr w14:paraId="0B700E83">
        <w:trPr>
          <w:jc w:val="center"/>
          <w:cantSplit/>
        </w:trPr>
        <w:tc>
          <w:tcPr>
            <w:tcW w:w="2016" w:type="dxa"/>
            <w:vAlign w:val="top"/>
          </w:tcPr>
          <w:p w14:paraId="1E7D2BBE">
            <w:pPr>
              <w:spacing w:before="0" w:after="0" w:line="240" w:lineRule="auto"/>
              <w:jc w:val="left"/>
            </w:pPr>
            <w:r>
              <w:rPr>
                <w:rFonts w:ascii="Times New Roman" w:hAnsi="Times New Roman" w:eastAsia="Times New Roman"/>
                <w:sz w:val="16"/>
              </w:rPr>
              <w:t>Spatial unit and site table</w:t>
            </w:r>
          </w:p>
        </w:tc>
        <w:tc>
          <w:tcPr>
            <w:tcW w:w="4752" w:type="dxa"/>
            <w:vAlign w:val="top"/>
          </w:tcPr>
          <w:p w14:paraId="7999B825">
            <w:pPr>
              <w:spacing w:before="0" w:after="0" w:line="240" w:lineRule="auto"/>
              <w:jc w:val="left"/>
            </w:pPr>
            <w:r>
              <w:rPr>
                <w:rFonts w:ascii="Times New Roman" w:hAnsi="Times New Roman" w:eastAsia="Times New Roman"/>
                <w:sz w:val="16"/>
              </w:rPr>
              <w:t>site_id, grid_id, protected_area_id, province, prefecture/city, county, township where available, protected-area name, protected-area category, national park status, ecological redline status, latitude, longitude, coordinate precision, ecoregion, mountain system, habitat class, land-cover class, elevation, slope, terrain ruggedness, distance to road, human footprint, livestock pressure</w:t>
            </w:r>
          </w:p>
        </w:tc>
        <w:tc>
          <w:tcPr>
            <w:tcW w:w="3312" w:type="dxa"/>
            <w:vAlign w:val="top"/>
          </w:tcPr>
          <w:p w14:paraId="1A06A61A">
            <w:pPr>
              <w:spacing w:before="0" w:after="0" w:line="240" w:lineRule="auto"/>
              <w:jc w:val="left"/>
            </w:pPr>
            <w:r>
              <w:rPr>
                <w:rFonts w:ascii="Times New Roman" w:hAnsi="Times New Roman" w:eastAsia="Times New Roman"/>
                <w:sz w:val="16"/>
              </w:rPr>
              <w:t>Defines the spatial unit for historical expectation, current survey evidence, environmental modelling, protected-area comparison and mapping.</w:t>
            </w:r>
          </w:p>
        </w:tc>
      </w:tr>
      <w:tr w14:paraId="2A180D7D">
        <w:trPr>
          <w:jc w:val="center"/>
          <w:cantSplit/>
        </w:trPr>
        <w:tc>
          <w:tcPr>
            <w:tcW w:w="2016" w:type="dxa"/>
            <w:vAlign w:val="top"/>
          </w:tcPr>
          <w:p w14:paraId="0D3D2605">
            <w:pPr>
              <w:spacing w:before="0" w:after="0" w:line="240" w:lineRule="auto"/>
              <w:jc w:val="left"/>
            </w:pPr>
            <w:r>
              <w:rPr>
                <w:rFonts w:ascii="Times New Roman" w:hAnsi="Times New Roman" w:eastAsia="Times New Roman"/>
                <w:sz w:val="16"/>
              </w:rPr>
              <w:t>Camera station table</w:t>
            </w:r>
          </w:p>
        </w:tc>
        <w:tc>
          <w:tcPr>
            <w:tcW w:w="4752" w:type="dxa"/>
            <w:vAlign w:val="top"/>
          </w:tcPr>
          <w:p w14:paraId="79A4C473">
            <w:pPr>
              <w:spacing w:before="0" w:after="0" w:line="240" w:lineRule="auto"/>
              <w:jc w:val="left"/>
            </w:pPr>
            <w:r>
              <w:rPr>
                <w:rFonts w:ascii="Times New Roman" w:hAnsi="Times New Roman" w:eastAsia="Times New Roman"/>
                <w:sz w:val="16"/>
              </w:rPr>
              <w:t>station_id, site_id, camera_id, station coordinates, coordinate precision, elevation, microhabitat, trail/road/ridge/valley/water-source placement, camera height, orientation, bait or lure use, camera model, trigger interval, sensor sensitivity, image/video mode, target species if any</w:t>
            </w:r>
          </w:p>
        </w:tc>
        <w:tc>
          <w:tcPr>
            <w:tcW w:w="3312" w:type="dxa"/>
            <w:vAlign w:val="top"/>
          </w:tcPr>
          <w:p w14:paraId="54C238BD">
            <w:pPr>
              <w:spacing w:before="0" w:after="0" w:line="240" w:lineRule="auto"/>
              <w:jc w:val="left"/>
            </w:pPr>
            <w:r>
              <w:rPr>
                <w:rFonts w:ascii="Times New Roman" w:hAnsi="Times New Roman" w:eastAsia="Times New Roman"/>
                <w:sz w:val="16"/>
              </w:rPr>
              <w:t>Separates site-level conditions from local camera-placement effects and supports detection-probability modelling.</w:t>
            </w:r>
          </w:p>
        </w:tc>
      </w:tr>
      <w:tr w14:paraId="284769E9">
        <w:trPr>
          <w:jc w:val="center"/>
          <w:cantSplit/>
        </w:trPr>
        <w:tc>
          <w:tcPr>
            <w:tcW w:w="2016" w:type="dxa"/>
            <w:vAlign w:val="top"/>
          </w:tcPr>
          <w:p w14:paraId="262981A8">
            <w:pPr>
              <w:spacing w:before="0" w:after="0" w:line="240" w:lineRule="auto"/>
              <w:jc w:val="left"/>
            </w:pPr>
            <w:r>
              <w:rPr>
                <w:rFonts w:ascii="Times New Roman" w:hAnsi="Times New Roman" w:eastAsia="Times New Roman"/>
                <w:sz w:val="16"/>
              </w:rPr>
              <w:t>Deployment and effort table</w:t>
            </w:r>
          </w:p>
        </w:tc>
        <w:tc>
          <w:tcPr>
            <w:tcW w:w="4752" w:type="dxa"/>
            <w:vAlign w:val="top"/>
          </w:tcPr>
          <w:p w14:paraId="48669DE2">
            <w:pPr>
              <w:spacing w:before="0" w:after="0" w:line="240" w:lineRule="auto"/>
              <w:jc w:val="left"/>
            </w:pPr>
            <w:r>
              <w:rPr>
                <w:rFonts w:ascii="Times New Roman" w:hAnsi="Times New Roman" w:eastAsia="Times New Roman"/>
                <w:sz w:val="16"/>
              </w:rPr>
              <w:t>deployment_id, station_id, deployment start date and time, retrieval date and time, active days, camera-days, malfunction days, number of valid nights, number of sampling occasions, season, year, month, survey repeat, survey team, maintenance notes</w:t>
            </w:r>
          </w:p>
        </w:tc>
        <w:tc>
          <w:tcPr>
            <w:tcW w:w="3312" w:type="dxa"/>
            <w:vAlign w:val="top"/>
          </w:tcPr>
          <w:p w14:paraId="7A13BC1A">
            <w:pPr>
              <w:spacing w:before="0" w:after="0" w:line="240" w:lineRule="auto"/>
              <w:jc w:val="left"/>
            </w:pPr>
            <w:r>
              <w:rPr>
                <w:rFonts w:ascii="Times New Roman" w:hAnsi="Times New Roman" w:eastAsia="Times New Roman"/>
                <w:sz w:val="16"/>
              </w:rPr>
              <w:t>Provides the effort denominator for RAI, occupancy replicates, monitoring adequacy and comparable survey subsets.</w:t>
            </w:r>
          </w:p>
        </w:tc>
      </w:tr>
      <w:tr w14:paraId="70FD6FA1">
        <w:trPr>
          <w:jc w:val="center"/>
          <w:cantSplit/>
        </w:trPr>
        <w:tc>
          <w:tcPr>
            <w:tcW w:w="2016" w:type="dxa"/>
            <w:vAlign w:val="top"/>
          </w:tcPr>
          <w:p w14:paraId="02B30D24">
            <w:pPr>
              <w:spacing w:before="0" w:after="0" w:line="240" w:lineRule="auto"/>
              <w:jc w:val="left"/>
            </w:pPr>
            <w:r>
              <w:rPr>
                <w:rFonts w:ascii="Times New Roman" w:hAnsi="Times New Roman" w:eastAsia="Times New Roman"/>
                <w:sz w:val="16"/>
              </w:rPr>
              <w:t>Media and event table</w:t>
            </w:r>
          </w:p>
        </w:tc>
        <w:tc>
          <w:tcPr>
            <w:tcW w:w="4752" w:type="dxa"/>
            <w:vAlign w:val="top"/>
          </w:tcPr>
          <w:p w14:paraId="4F736CAE">
            <w:pPr>
              <w:spacing w:before="0" w:after="0" w:line="240" w:lineRule="auto"/>
              <w:jc w:val="left"/>
            </w:pPr>
            <w:r>
              <w:rPr>
                <w:rFonts w:ascii="Times New Roman" w:hAnsi="Times New Roman" w:eastAsia="Times New Roman"/>
                <w:sz w:val="16"/>
              </w:rPr>
              <w:t>media_id, event_id, deployment_id, file timestamp, date, time, species identification, taxonomic certainty, number of individuals, minimum group size, sex, age class, reproductive status, behaviour, movement direction, activity state, human/livestock/dog record, image-quality flag, expert-verified or AI-assisted identification flag</w:t>
            </w:r>
          </w:p>
        </w:tc>
        <w:tc>
          <w:tcPr>
            <w:tcW w:w="3312" w:type="dxa"/>
            <w:vAlign w:val="top"/>
          </w:tcPr>
          <w:p w14:paraId="702161A7">
            <w:pPr>
              <w:spacing w:before="0" w:after="0" w:line="240" w:lineRule="auto"/>
              <w:jc w:val="left"/>
            </w:pPr>
            <w:r>
              <w:rPr>
                <w:rFonts w:ascii="Times New Roman" w:hAnsi="Times New Roman" w:eastAsia="Times New Roman"/>
                <w:sz w:val="16"/>
              </w:rPr>
              <w:t>Retains fine-resolution ecological evidence for behaviour, activity pattern, human disturbance and independent detection construction.</w:t>
            </w:r>
          </w:p>
        </w:tc>
      </w:tr>
      <w:tr w14:paraId="4EF5682F">
        <w:trPr>
          <w:jc w:val="center"/>
          <w:cantSplit/>
        </w:trPr>
        <w:tc>
          <w:tcPr>
            <w:tcW w:w="2016" w:type="dxa"/>
            <w:vAlign w:val="top"/>
          </w:tcPr>
          <w:p w14:paraId="60823294">
            <w:pPr>
              <w:spacing w:before="0" w:after="0" w:line="240" w:lineRule="auto"/>
              <w:jc w:val="left"/>
            </w:pPr>
            <w:r>
              <w:rPr>
                <w:rFonts w:ascii="Times New Roman" w:hAnsi="Times New Roman" w:eastAsia="Times New Roman"/>
                <w:sz w:val="16"/>
              </w:rPr>
              <w:t>Species-by-site summary table</w:t>
            </w:r>
          </w:p>
        </w:tc>
        <w:tc>
          <w:tcPr>
            <w:tcW w:w="4752" w:type="dxa"/>
            <w:vAlign w:val="top"/>
          </w:tcPr>
          <w:p w14:paraId="42742551">
            <w:pPr>
              <w:spacing w:before="0" w:after="0" w:line="240" w:lineRule="auto"/>
              <w:jc w:val="left"/>
            </w:pPr>
            <w:r>
              <w:rPr>
                <w:rFonts w:ascii="Times New Roman" w:hAnsi="Times New Roman"/>
                <w:sz w:val="16"/>
              </w:rPr>
              <w:t>species_id, site_id, historical expectation, current detection status, number of independent detections, naive occupancy, detection frequency, RAI per 100 camera-days, effort-corrected RAI, activity window, temporal overlap with humans, livestock and domestic dogs, occupancy estimate, detection probability, density estimate where supported, trophic guild, predator-prey or interaction evidence, functional and phylogenetic metrics, lower and upper uncertainty bounds</w:t>
            </w:r>
          </w:p>
        </w:tc>
        <w:tc>
          <w:tcPr>
            <w:tcW w:w="3312" w:type="dxa"/>
            <w:vAlign w:val="top"/>
          </w:tcPr>
          <w:p w14:paraId="34CACC00">
            <w:pPr>
              <w:spacing w:before="0" w:after="0" w:line="240" w:lineRule="auto"/>
              <w:jc w:val="left"/>
            </w:pPr>
            <w:r>
              <w:rPr>
                <w:rFonts w:ascii="Times New Roman" w:hAnsi="Times New Roman"/>
                <w:sz w:val="16"/>
              </w:rPr>
              <w:t>Provides the analytical matrix used to classify confirmed persistence, silent range, monitoring gap and newly confirmed occurrence, and supports abundance, trophic, functional, phylogenetic and protected-area performance analyses.</w:t>
            </w:r>
          </w:p>
        </w:tc>
      </w:tr>
      <w:tr w14:paraId="7DDB0F9D">
        <w:trPr>
          <w:jc w:val="center"/>
          <w:cantSplit/>
        </w:trPr>
        <w:tc>
          <w:tcPr>
            <w:tcW w:w="2016" w:type="dxa"/>
            <w:vAlign w:val="top"/>
          </w:tcPr>
          <w:p w14:paraId="10396392">
            <w:pPr>
              <w:spacing w:before="0" w:after="0" w:line="240" w:lineRule="auto"/>
              <w:jc w:val="left"/>
            </w:pPr>
            <w:r>
              <w:rPr>
                <w:rFonts w:ascii="Times New Roman" w:hAnsi="Times New Roman" w:eastAsia="Times New Roman"/>
                <w:sz w:val="16"/>
              </w:rPr>
              <w:t>Historical evidence table</w:t>
            </w:r>
          </w:p>
        </w:tc>
        <w:tc>
          <w:tcPr>
            <w:tcW w:w="4752" w:type="dxa"/>
            <w:vAlign w:val="top"/>
          </w:tcPr>
          <w:p w14:paraId="456D3842">
            <w:pPr>
              <w:spacing w:before="0" w:after="0" w:line="240" w:lineRule="auto"/>
              <w:jc w:val="left"/>
            </w:pPr>
            <w:r>
              <w:rPr>
                <w:rFonts w:ascii="Times New Roman" w:hAnsi="Times New Roman" w:eastAsia="Times New Roman"/>
                <w:sz w:val="16"/>
              </w:rPr>
              <w:t>species_id, site_id, historical record year or period, historical source, evidence type, locality precision, historical survey method, confidence score, baseline scenario, historical presence flag</w:t>
            </w:r>
          </w:p>
        </w:tc>
        <w:tc>
          <w:tcPr>
            <w:tcW w:w="3312" w:type="dxa"/>
            <w:vAlign w:val="top"/>
          </w:tcPr>
          <w:p w14:paraId="0F717CF3">
            <w:pPr>
              <w:spacing w:before="0" w:after="0" w:line="240" w:lineRule="auto"/>
              <w:jc w:val="left"/>
            </w:pPr>
            <w:r>
              <w:rPr>
                <w:rFonts w:ascii="Times New Roman" w:hAnsi="Times New Roman" w:eastAsia="Times New Roman"/>
                <w:sz w:val="16"/>
              </w:rPr>
              <w:t>Defines conservative, intermediate and broad historical species pools and supports sensitivity analysis.</w:t>
            </w:r>
          </w:p>
        </w:tc>
      </w:tr>
      <w:tr w14:paraId="3F442CEA">
        <w:trPr>
          <w:jc w:val="center"/>
          <w:cantSplit/>
        </w:trPr>
        <w:tc>
          <w:tcPr>
            <w:tcW w:w="2016" w:type="dxa"/>
            <w:vAlign w:val="top"/>
          </w:tcPr>
          <w:p w14:paraId="6A6030DF">
            <w:pPr>
              <w:spacing w:before="0" w:after="0" w:line="240" w:lineRule="auto"/>
              <w:jc w:val="left"/>
            </w:pPr>
            <w:r>
              <w:rPr>
                <w:rFonts w:ascii="Times New Roman" w:hAnsi="Times New Roman" w:eastAsia="Times New Roman"/>
                <w:sz w:val="16"/>
              </w:rPr>
              <w:t>Species attribute table</w:t>
            </w:r>
          </w:p>
        </w:tc>
        <w:tc>
          <w:tcPr>
            <w:tcW w:w="4752" w:type="dxa"/>
            <w:vAlign w:val="top"/>
          </w:tcPr>
          <w:p w14:paraId="64562558">
            <w:pPr>
              <w:spacing w:before="0" w:after="0" w:line="240" w:lineRule="auto"/>
              <w:jc w:val="left"/>
            </w:pPr>
            <w:r>
              <w:rPr>
                <w:rFonts w:ascii="Times New Roman" w:hAnsi="Times New Roman" w:eastAsia="Times New Roman"/>
                <w:sz w:val="16"/>
              </w:rPr>
              <w:t>species_id, accepted scientific name, Chinese name, taxonomic group, China Red List category, IUCN category, endemism, body mass, trophic guild, habitat specialisation, home-range size, activity period, functional group, detectability class, data-deficiency flag</w:t>
            </w:r>
          </w:p>
        </w:tc>
        <w:tc>
          <w:tcPr>
            <w:tcW w:w="3312" w:type="dxa"/>
            <w:vAlign w:val="top"/>
          </w:tcPr>
          <w:p w14:paraId="613C6735">
            <w:pPr>
              <w:spacing w:before="0" w:after="0" w:line="240" w:lineRule="auto"/>
              <w:jc w:val="left"/>
            </w:pPr>
            <w:r>
              <w:rPr>
                <w:rFonts w:ascii="Times New Roman" w:hAnsi="Times New Roman" w:eastAsia="Times New Roman"/>
                <w:sz w:val="16"/>
              </w:rPr>
              <w:t>Supplies Red List weights, functional weights, trait predictors and taxonomic standardisation.</w:t>
            </w:r>
          </w:p>
        </w:tc>
      </w:tr>
      <w:tr w14:paraId="57FC72ED">
        <w:trPr>
          <w:jc w:val="center"/>
          <w:cantSplit/>
        </w:trPr>
        <w:tc>
          <w:tcPr>
            <w:tcW w:w="2016" w:type="dxa"/>
            <w:vAlign w:val="top"/>
          </w:tcPr>
          <w:p w14:paraId="2FAC782E">
            <w:pPr>
              <w:spacing w:before="0" w:after="0" w:line="240" w:lineRule="auto"/>
              <w:jc w:val="left"/>
            </w:pPr>
            <w:r>
              <w:rPr>
                <w:rFonts w:ascii="Times New Roman" w:hAnsi="Times New Roman" w:eastAsia="Times New Roman"/>
                <w:sz w:val="16"/>
              </w:rPr>
              <w:t>Derived index table</w:t>
            </w:r>
          </w:p>
        </w:tc>
        <w:tc>
          <w:tcPr>
            <w:tcW w:w="4752" w:type="dxa"/>
            <w:vAlign w:val="top"/>
          </w:tcPr>
          <w:p w14:paraId="0FD189D6">
            <w:pPr>
              <w:spacing w:before="0" w:after="0" w:line="240" w:lineRule="auto"/>
              <w:jc w:val="left"/>
            </w:pPr>
            <w:r>
              <w:rPr>
                <w:rFonts w:ascii="Times New Roman" w:hAnsi="Times New Roman"/>
                <w:sz w:val="16"/>
              </w:rPr>
              <w:t>site_id, taxonomic subset, survey adequacy score, species intactness, detection-corrected intactness, threat-weighted intactness, functional intactness, phylogenetic intactness, trophic intactness, abundance-proxy intactness, silent-range proportion, monitoring-gap proportion, newly confirmed occurrence proportion, protected-area representation contribution, representation density, uncertainty interval</w:t>
            </w:r>
          </w:p>
        </w:tc>
        <w:tc>
          <w:tcPr>
            <w:tcW w:w="3312" w:type="dxa"/>
            <w:vAlign w:val="top"/>
          </w:tcPr>
          <w:p w14:paraId="560776B2">
            <w:pPr>
              <w:spacing w:before="0" w:after="0" w:line="240" w:lineRule="auto"/>
              <w:jc w:val="left"/>
            </w:pPr>
            <w:r>
              <w:rPr>
                <w:rFonts w:ascii="Times New Roman" w:hAnsi="Times New Roman"/>
                <w:sz w:val="16"/>
              </w:rPr>
              <w:t>Stores final TW-CVII products and allows updates as new camera-trap data, historical evidence, Red List assessments and representation targets are added.</w:t>
            </w:r>
          </w:p>
        </w:tc>
      </w:tr>
    </w:tbl>
    <w:p w14:paraId="7E5EE918">
      <w:pPr>
        <w:keepNext/>
        <w:spacing w:after="80" w:line="259" w:lineRule="auto"/>
        <w:jc w:val="center"/>
      </w:pPr>
      <w:r>
        <w:rPr>
          <w:rFonts w:ascii="Times New Roman" w:hAnsi="Times New Roman" w:eastAsia="Times New Roman"/>
          <w:sz w:val="18"/>
        </w:rPr>
        <w:t>Table A1. Proposed PREDICTS-style relational data structure for the China camera-trap vertebrate intactness database.</w:t>
      </w:r>
    </w:p>
    <w:p w14:paraId="017E5E1C">
      <w:pPr>
        <w:pStyle w:val="5"/>
        <w:keepNext/>
        <w:spacing w:after="120" w:line="259" w:lineRule="auto"/>
      </w:pPr>
      <w:r>
        <w:rPr>
          <w:rFonts w:ascii="Times New Roman" w:hAnsi="Times New Roman" w:eastAsia="Times New Roman"/>
          <w:sz w:val="22"/>
        </w:rPr>
        <w:t>5.2.2 Key raw variables and derived ecological metrics</w:t>
      </w:r>
    </w:p>
    <w:p w14:paraId="568DD108">
      <w:pPr>
        <w:spacing w:after="120" w:line="259" w:lineRule="auto"/>
      </w:pPr>
      <w:r>
        <w:rPr>
          <w:rFonts w:ascii="Times New Roman" w:hAnsi="Times New Roman" w:eastAsia="Times New Roman"/>
          <w:sz w:val="22"/>
        </w:rPr>
        <w:t>The database will preserve raw information and derived indicators separately. Raw records include the exact date and time of each detection, camera-station location, deployment interval and annotation fields. Derived metrics will be calculated only after taxonomic, spatial and effort standardisation. Relative abundance will primarily be represented as independent detections per 100 camera-days, with alternative denominators retained when required by the original study. Density will be used only where the source study applied a defensible density method, such as spatial capture-recapture for individually recognisable species, random-encounter or random-encounter-and-staying-time models, camera-trap distance sampling, or validated local density estimates. Behavioural fields will include foraging, moving, resting, vigilance, social interaction, reproduction, scent-marking, predator-prey interaction and human-avoidance behaviour where identifiable. These behavioural annotations are not essential for all index calculations, but they will allow the project to examine behavioural symptoms of disturbance and to connect intactness with trophic downgrading, activity overlap and human-wildlife interaction analyses (O’Brien et al., 2010; Burton et al., 2015; Liu et al., 2025).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7"/>
        <w:gridCol w:w="4065"/>
        <w:gridCol w:w="2960"/>
      </w:tblGrid>
      <w:tr w14:paraId="3E01A8F9">
        <w:trPr>
          <w:tblHeader w:val="true"/>
          <w:jc w:val="center"/>
          <w:cantSplit/>
        </w:trPr>
        <w:tc>
          <w:tcPr>
            <w:tcW w:w="2160" w:type="dxa"/>
            <w:vAlign w:val="top"/>
          </w:tcPr>
          <w:p w14:paraId="4A51E25C">
            <w:pPr>
              <w:spacing w:before="0" w:after="0" w:line="240" w:lineRule="auto"/>
              <w:jc w:val="left"/>
            </w:pPr>
            <w:r>
              <w:rPr>
                <w:rFonts w:ascii="Times New Roman" w:hAnsi="Times New Roman" w:eastAsia="Times New Roman"/>
                <w:b/>
                <w:sz w:val="17"/>
              </w:rPr>
              <w:t>Metric class</w:t>
            </w:r>
          </w:p>
        </w:tc>
        <w:tc>
          <w:tcPr>
            <w:tcW w:w="4608" w:type="dxa"/>
            <w:vAlign w:val="top"/>
          </w:tcPr>
          <w:p w14:paraId="3C682D8D">
            <w:pPr>
              <w:spacing w:before="0" w:after="0" w:line="240" w:lineRule="auto"/>
              <w:jc w:val="left"/>
            </w:pPr>
            <w:r>
              <w:rPr>
                <w:rFonts w:ascii="Times New Roman" w:hAnsi="Times New Roman" w:eastAsia="Times New Roman"/>
                <w:b/>
                <w:sz w:val="17"/>
              </w:rPr>
              <w:t>Variables or calculation</w:t>
            </w:r>
          </w:p>
        </w:tc>
        <w:tc>
          <w:tcPr>
            <w:tcW w:w="3312" w:type="dxa"/>
            <w:vAlign w:val="top"/>
          </w:tcPr>
          <w:p w14:paraId="7B743000">
            <w:pPr>
              <w:spacing w:before="0" w:after="0" w:line="240" w:lineRule="auto"/>
              <w:jc w:val="left"/>
            </w:pPr>
            <w:r>
              <w:rPr>
                <w:rFonts w:ascii="Times New Roman" w:hAnsi="Times New Roman" w:eastAsia="Times New Roman"/>
                <w:b/>
                <w:sz w:val="17"/>
              </w:rPr>
              <w:t>Interpretation and cautions</w:t>
            </w:r>
          </w:p>
        </w:tc>
      </w:tr>
      <w:tr w14:paraId="2EA30017">
        <w:trPr>
          <w:jc w:val="center"/>
          <w:cantSplit/>
        </w:trPr>
        <w:tc>
          <w:tcPr>
            <w:tcW w:w="2160" w:type="dxa"/>
            <w:vAlign w:val="top"/>
          </w:tcPr>
          <w:p w14:paraId="20919728">
            <w:pPr>
              <w:spacing w:before="0" w:after="0" w:line="240" w:lineRule="auto"/>
              <w:jc w:val="left"/>
            </w:pPr>
            <w:r>
              <w:rPr>
                <w:rFonts w:ascii="Times New Roman" w:hAnsi="Times New Roman" w:eastAsia="Times New Roman"/>
                <w:sz w:val="16"/>
              </w:rPr>
              <w:t>Survey effort</w:t>
            </w:r>
          </w:p>
        </w:tc>
        <w:tc>
          <w:tcPr>
            <w:tcW w:w="4608" w:type="dxa"/>
            <w:vAlign w:val="top"/>
          </w:tcPr>
          <w:p w14:paraId="3B484580">
            <w:pPr>
              <w:spacing w:before="0" w:after="0" w:line="240" w:lineRule="auto"/>
              <w:jc w:val="left"/>
            </w:pPr>
            <w:r>
              <w:rPr>
                <w:rFonts w:ascii="Times New Roman" w:hAnsi="Times New Roman" w:eastAsia="Times New Roman"/>
                <w:sz w:val="16"/>
              </w:rPr>
              <w:t>number of stations, deployment duration, active days, camera-days, valid nights, malfunction days, number of sampling occasions, spatial coverage of suitable habitat</w:t>
            </w:r>
          </w:p>
        </w:tc>
        <w:tc>
          <w:tcPr>
            <w:tcW w:w="3312" w:type="dxa"/>
            <w:vAlign w:val="top"/>
          </w:tcPr>
          <w:p w14:paraId="7722AFCD">
            <w:pPr>
              <w:spacing w:before="0" w:after="0" w:line="240" w:lineRule="auto"/>
              <w:jc w:val="left"/>
            </w:pPr>
            <w:r>
              <w:rPr>
                <w:rFonts w:ascii="Times New Roman" w:hAnsi="Times New Roman" w:eastAsia="Times New Roman"/>
                <w:sz w:val="16"/>
              </w:rPr>
              <w:t>Determines monitoring adequacy and prevents treating poorly surveyed locations as silent ranges.</w:t>
            </w:r>
          </w:p>
        </w:tc>
      </w:tr>
      <w:tr w14:paraId="68CFB5A0">
        <w:trPr>
          <w:jc w:val="center"/>
          <w:cantSplit/>
        </w:trPr>
        <w:tc>
          <w:tcPr>
            <w:tcW w:w="2160" w:type="dxa"/>
            <w:vAlign w:val="top"/>
          </w:tcPr>
          <w:p w14:paraId="1CCC5ACB">
            <w:pPr>
              <w:spacing w:before="0" w:after="0" w:line="240" w:lineRule="auto"/>
              <w:jc w:val="left"/>
            </w:pPr>
            <w:r>
              <w:rPr>
                <w:rFonts w:ascii="Times New Roman" w:hAnsi="Times New Roman" w:eastAsia="Times New Roman"/>
                <w:sz w:val="16"/>
              </w:rPr>
              <w:t>Detection evidence</w:t>
            </w:r>
          </w:p>
        </w:tc>
        <w:tc>
          <w:tcPr>
            <w:tcW w:w="4608" w:type="dxa"/>
            <w:vAlign w:val="top"/>
          </w:tcPr>
          <w:p w14:paraId="60AA98E4">
            <w:pPr>
              <w:spacing w:before="0" w:after="0" w:line="240" w:lineRule="auto"/>
              <w:jc w:val="left"/>
            </w:pPr>
            <w:r>
              <w:rPr>
                <w:rFonts w:ascii="Times New Roman" w:hAnsi="Times New Roman" w:eastAsia="Times New Roman"/>
                <w:sz w:val="16"/>
              </w:rPr>
              <w:t>raw detections, independent detections, detection-nondetection by occasion, first detection date, last detection date, detection frequency</w:t>
            </w:r>
          </w:p>
        </w:tc>
        <w:tc>
          <w:tcPr>
            <w:tcW w:w="3312" w:type="dxa"/>
            <w:vAlign w:val="top"/>
          </w:tcPr>
          <w:p w14:paraId="76B251A1">
            <w:pPr>
              <w:spacing w:before="0" w:after="0" w:line="240" w:lineRule="auto"/>
              <w:jc w:val="left"/>
            </w:pPr>
            <w:r>
              <w:rPr>
                <w:rFonts w:ascii="Times New Roman" w:hAnsi="Times New Roman" w:eastAsia="Times New Roman"/>
                <w:sz w:val="16"/>
              </w:rPr>
              <w:t>Provides the basis for confirmed persistence, occupancy modelling and temporal recency checks.</w:t>
            </w:r>
          </w:p>
        </w:tc>
      </w:tr>
      <w:tr w14:paraId="4BFFD551">
        <w:trPr>
          <w:jc w:val="center"/>
          <w:cantSplit/>
        </w:trPr>
        <w:tc>
          <w:tcPr>
            <w:tcW w:w="2160" w:type="dxa"/>
            <w:vAlign w:val="top"/>
          </w:tcPr>
          <w:p w14:paraId="59546B76">
            <w:pPr>
              <w:spacing w:before="0" w:after="0" w:line="240" w:lineRule="auto"/>
              <w:jc w:val="left"/>
            </w:pPr>
            <w:r>
              <w:rPr>
                <w:rFonts w:ascii="Times New Roman" w:hAnsi="Times New Roman" w:eastAsia="Times New Roman"/>
                <w:sz w:val="16"/>
              </w:rPr>
              <w:t>Relative abundance/activity</w:t>
            </w:r>
          </w:p>
        </w:tc>
        <w:tc>
          <w:tcPr>
            <w:tcW w:w="4608" w:type="dxa"/>
            <w:vAlign w:val="top"/>
          </w:tcPr>
          <w:p w14:paraId="4F31ACC9">
            <w:pPr>
              <w:spacing w:before="0" w:after="0" w:line="240" w:lineRule="auto"/>
              <w:jc w:val="left"/>
            </w:pPr>
            <w:r>
              <w:rPr>
                <w:rFonts w:ascii="Times New Roman" w:hAnsi="Times New Roman" w:eastAsia="Times New Roman"/>
                <w:sz w:val="16"/>
              </w:rPr>
              <w:t>RAI = independent detections / camera-days × 100; effort-corrected RAI; relative activity rate by diel period or season</w:t>
            </w:r>
          </w:p>
        </w:tc>
        <w:tc>
          <w:tcPr>
            <w:tcW w:w="3312" w:type="dxa"/>
            <w:vAlign w:val="top"/>
          </w:tcPr>
          <w:p w14:paraId="233B71CD">
            <w:pPr>
              <w:spacing w:before="0" w:after="0" w:line="240" w:lineRule="auto"/>
              <w:jc w:val="left"/>
            </w:pPr>
            <w:r>
              <w:rPr>
                <w:rFonts w:ascii="Times New Roman" w:hAnsi="Times New Roman" w:eastAsia="Times New Roman"/>
                <w:sz w:val="16"/>
              </w:rPr>
              <w:t>Useful for abundance-proxy intactness and trend comparison, but not equivalent to true abundance without assumptions.</w:t>
            </w:r>
          </w:p>
        </w:tc>
      </w:tr>
      <w:tr w14:paraId="200E108E">
        <w:trPr>
          <w:jc w:val="center"/>
          <w:cantSplit/>
        </w:trPr>
        <w:tc>
          <w:tcPr>
            <w:tcW w:w="2160" w:type="dxa"/>
            <w:vAlign w:val="top"/>
          </w:tcPr>
          <w:p w14:paraId="4DD1E6AC">
            <w:pPr>
              <w:spacing w:before="0" w:after="0" w:line="240" w:lineRule="auto"/>
              <w:jc w:val="left"/>
            </w:pPr>
            <w:r>
              <w:rPr>
                <w:rFonts w:ascii="Times New Roman" w:hAnsi="Times New Roman" w:eastAsia="Times New Roman"/>
                <w:sz w:val="16"/>
              </w:rPr>
              <w:t>Density and population state</w:t>
            </w:r>
          </w:p>
        </w:tc>
        <w:tc>
          <w:tcPr>
            <w:tcW w:w="4608" w:type="dxa"/>
            <w:vAlign w:val="top"/>
          </w:tcPr>
          <w:p w14:paraId="286A3CDC">
            <w:pPr>
              <w:spacing w:before="0" w:after="0" w:line="240" w:lineRule="auto"/>
              <w:jc w:val="left"/>
            </w:pPr>
            <w:r>
              <w:rPr>
                <w:rFonts w:ascii="Times New Roman" w:hAnsi="Times New Roman" w:eastAsia="Times New Roman"/>
                <w:sz w:val="16"/>
              </w:rPr>
              <w:t>density estimate, method, sampling area, effective sampling area, uncertainty interval, individual ID availability, calibration source</w:t>
            </w:r>
          </w:p>
        </w:tc>
        <w:tc>
          <w:tcPr>
            <w:tcW w:w="3312" w:type="dxa"/>
            <w:vAlign w:val="top"/>
          </w:tcPr>
          <w:p w14:paraId="6F169B68">
            <w:pPr>
              <w:spacing w:before="0" w:after="0" w:line="240" w:lineRule="auto"/>
              <w:jc w:val="left"/>
            </w:pPr>
            <w:r>
              <w:rPr>
                <w:rFonts w:ascii="Times New Roman" w:hAnsi="Times New Roman" w:eastAsia="Times New Roman"/>
                <w:sz w:val="16"/>
              </w:rPr>
              <w:t>Included only when the original study or method supports density inference; otherwise treated as contextual evidence.</w:t>
            </w:r>
          </w:p>
        </w:tc>
      </w:tr>
      <w:tr w14:paraId="079ABA39">
        <w:trPr>
          <w:jc w:val="center"/>
          <w:cantSplit/>
        </w:trPr>
        <w:tc>
          <w:tcPr>
            <w:tcW w:w="2160" w:type="dxa"/>
            <w:vAlign w:val="top"/>
          </w:tcPr>
          <w:p w14:paraId="124A5EC0">
            <w:pPr>
              <w:spacing w:before="0" w:after="0" w:line="240" w:lineRule="auto"/>
              <w:jc w:val="left"/>
            </w:pPr>
            <w:r>
              <w:rPr>
                <w:rFonts w:ascii="Times New Roman" w:hAnsi="Times New Roman" w:eastAsia="Times New Roman"/>
                <w:sz w:val="16"/>
              </w:rPr>
              <w:t>Behaviour and interaction</w:t>
            </w:r>
          </w:p>
        </w:tc>
        <w:tc>
          <w:tcPr>
            <w:tcW w:w="4608" w:type="dxa"/>
            <w:vAlign w:val="top"/>
          </w:tcPr>
          <w:p w14:paraId="0953EFF7">
            <w:pPr>
              <w:spacing w:before="0" w:after="0" w:line="240" w:lineRule="auto"/>
              <w:jc w:val="left"/>
            </w:pPr>
            <w:r>
              <w:rPr>
                <w:rFonts w:ascii="Times New Roman" w:hAnsi="Times New Roman" w:eastAsia="Times New Roman"/>
                <w:sz w:val="16"/>
              </w:rPr>
              <w:t>behavioural category, group size, sex/age class, activity state, temporal overlap with humans, livestock and domestic dogs, avoidance index where estimable</w:t>
            </w:r>
          </w:p>
        </w:tc>
        <w:tc>
          <w:tcPr>
            <w:tcW w:w="3312" w:type="dxa"/>
            <w:vAlign w:val="top"/>
          </w:tcPr>
          <w:p w14:paraId="795D7713">
            <w:pPr>
              <w:spacing w:before="0" w:after="0" w:line="240" w:lineRule="auto"/>
              <w:jc w:val="left"/>
            </w:pPr>
            <w:r>
              <w:rPr>
                <w:rFonts w:ascii="Times New Roman" w:hAnsi="Times New Roman" w:eastAsia="Times New Roman"/>
                <w:sz w:val="16"/>
              </w:rPr>
              <w:t>Supports functional interpretation, disturbance analysis and behavioural early-warning indicators.</w:t>
            </w:r>
          </w:p>
        </w:tc>
      </w:tr>
      <w:tr w14:paraId="068C5571">
        <w:trPr>
          <w:jc w:val="center"/>
          <w:cantSplit/>
        </w:trPr>
        <w:tc>
          <w:tcPr>
            <w:tcW w:w="2160" w:type="dxa"/>
            <w:vAlign w:val="top"/>
          </w:tcPr>
          <w:p w14:paraId="660926BF">
            <w:pPr>
              <w:spacing w:before="0" w:after="0" w:line="240" w:lineRule="auto"/>
              <w:jc w:val="left"/>
            </w:pPr>
            <w:r>
              <w:rPr>
                <w:rFonts w:ascii="Times New Roman" w:hAnsi="Times New Roman" w:eastAsia="Times New Roman"/>
                <w:sz w:val="16"/>
              </w:rPr>
              <w:t>Environmental context</w:t>
            </w:r>
          </w:p>
        </w:tc>
        <w:tc>
          <w:tcPr>
            <w:tcW w:w="4608" w:type="dxa"/>
            <w:vAlign w:val="top"/>
          </w:tcPr>
          <w:p w14:paraId="4B3150EE">
            <w:pPr>
              <w:spacing w:before="0" w:after="0" w:line="240" w:lineRule="auto"/>
              <w:jc w:val="left"/>
            </w:pPr>
            <w:r>
              <w:rPr>
                <w:rFonts w:ascii="Times New Roman" w:hAnsi="Times New Roman" w:eastAsia="Times New Roman"/>
                <w:sz w:val="16"/>
              </w:rPr>
              <w:t>habitat, land cover, elevation, vegetation, terrain, climate, human footprint, road distance, protection category and boundary distance</w:t>
            </w:r>
          </w:p>
        </w:tc>
        <w:tc>
          <w:tcPr>
            <w:tcW w:w="3312" w:type="dxa"/>
            <w:vAlign w:val="top"/>
          </w:tcPr>
          <w:p w14:paraId="35E50F9F">
            <w:pPr>
              <w:spacing w:before="0" w:after="0" w:line="240" w:lineRule="auto"/>
              <w:jc w:val="left"/>
            </w:pPr>
            <w:r>
              <w:rPr>
                <w:rFonts w:ascii="Times New Roman" w:hAnsi="Times New Roman" w:eastAsia="Times New Roman"/>
                <w:sz w:val="16"/>
              </w:rPr>
              <w:t>Explains spatial variation in detection, occupancy, intactness and silent-range risk.</w:t>
            </w:r>
          </w:p>
        </w:tc>
      </w:tr>
      <w:tr w14:paraId="41334422">
        <w:trPr>
          <w:jc w:val="center"/>
          <w:cantSplit/>
        </w:trPr>
        <w:tc>
          <w:tcPr>
            <w:tcW w:w="2160" w:type="dxa"/>
            <w:vAlign w:val="top"/>
          </w:tcPr>
          <w:p w14:paraId="3E00FF1B">
            <w:pPr>
              <w:spacing w:before="0" w:after="0" w:line="240" w:lineRule="auto"/>
              <w:jc w:val="left"/>
            </w:pPr>
            <w:r>
              <w:rPr>
                <w:rFonts w:ascii="Times New Roman" w:hAnsi="Times New Roman" w:eastAsia="Times New Roman"/>
                <w:sz w:val="16"/>
              </w:rPr>
              <w:t>Conservation status</w:t>
            </w:r>
          </w:p>
        </w:tc>
        <w:tc>
          <w:tcPr>
            <w:tcW w:w="4608" w:type="dxa"/>
            <w:vAlign w:val="top"/>
          </w:tcPr>
          <w:p w14:paraId="432789C3">
            <w:pPr>
              <w:spacing w:before="0" w:after="0" w:line="240" w:lineRule="auto"/>
              <w:jc w:val="left"/>
            </w:pPr>
            <w:r>
              <w:rPr>
                <w:rFonts w:ascii="Times New Roman" w:hAnsi="Times New Roman" w:eastAsia="Times New Roman"/>
                <w:sz w:val="16"/>
              </w:rPr>
              <w:t>China Red List category, IUCN category, national protection class where available, endemism, data-deficiency flag</w:t>
            </w:r>
          </w:p>
        </w:tc>
        <w:tc>
          <w:tcPr>
            <w:tcW w:w="3312" w:type="dxa"/>
            <w:vAlign w:val="top"/>
          </w:tcPr>
          <w:p w14:paraId="0622480F">
            <w:pPr>
              <w:spacing w:before="0" w:after="0" w:line="240" w:lineRule="auto"/>
              <w:jc w:val="left"/>
            </w:pPr>
            <w:r>
              <w:rPr>
                <w:rFonts w:ascii="Times New Roman" w:hAnsi="Times New Roman" w:eastAsia="Times New Roman"/>
                <w:sz w:val="16"/>
              </w:rPr>
              <w:t>Defines threat weights and identifies species requiring monitoring or reassessment.</w:t>
            </w:r>
          </w:p>
        </w:tc>
      </w:tr>
      <w:tr w14:paraId="2D6B446D">
        <w:trPr>
          <w:jc w:val="center"/>
          <w:cantSplit/>
        </w:trPr>
        <w:tc>
          <w:tcPr>
            <w:tcW w:w="3249" w:type="dxa"/>
          </w:tcPr>
          <w:p w14:paraId="6D79C47F">
            <w:pPr>
              <w:spacing w:before="0" w:after="0" w:line="240" w:lineRule="auto"/>
              <w:jc w:val="left"/>
            </w:pPr>
            <w:r>
              <w:rPr>
                <w:rFonts w:ascii="Times New Roman" w:hAnsi="Times New Roman"/>
                <w:sz w:val="16"/>
              </w:rPr>
              <w:t>Multi-dimensional diversity and trophic structure</w:t>
            </w:r>
          </w:p>
        </w:tc>
        <w:tc>
          <w:tcPr>
            <w:tcW w:w="3249" w:type="dxa"/>
          </w:tcPr>
          <w:p w14:paraId="3EBCE4EA">
            <w:pPr>
              <w:spacing w:before="0" w:after="0" w:line="240" w:lineRule="auto"/>
              <w:jc w:val="left"/>
            </w:pPr>
            <w:r>
              <w:rPr>
                <w:rFonts w:ascii="Times New Roman" w:hAnsi="Times New Roman"/>
                <w:sz w:val="16"/>
              </w:rPr>
              <w:t>taxonomic diversity, functional diversity, phylogenetic diversity, trophic guild composition, apex predator presence, large-herbivore presence, trophic downgrading score where estimable</w:t>
            </w:r>
          </w:p>
        </w:tc>
        <w:tc>
          <w:tcPr>
            <w:tcW w:w="3249" w:type="dxa"/>
          </w:tcPr>
          <w:p w14:paraId="5AED4E1B">
            <w:pPr>
              <w:spacing w:before="0" w:after="0" w:line="240" w:lineRule="auto"/>
              <w:jc w:val="left"/>
            </w:pPr>
            <w:r>
              <w:rPr>
                <w:rFonts w:ascii="Times New Roman" w:hAnsi="Times New Roman"/>
                <w:sz w:val="16"/>
              </w:rPr>
              <w:t>Extends intactness beyond species counts and allows direct links with recent Chinese camera-trap studies on mammal diversity and trophic downgrading.</w:t>
            </w:r>
          </w:p>
        </w:tc>
      </w:tr>
      <w:tr w14:paraId="613053BC">
        <w:trPr>
          <w:jc w:val="center"/>
          <w:cantSplit/>
        </w:trPr>
        <w:tc>
          <w:tcPr>
            <w:tcW w:w="3249" w:type="dxa"/>
          </w:tcPr>
          <w:p w14:paraId="19F81117">
            <w:pPr>
              <w:spacing w:before="0" w:after="0" w:line="240" w:lineRule="auto"/>
              <w:jc w:val="left"/>
            </w:pPr>
            <w:r>
              <w:rPr>
                <w:rFonts w:ascii="Times New Roman" w:hAnsi="Times New Roman"/>
                <w:sz w:val="16"/>
              </w:rPr>
              <w:t>Protected-area representation and contribution</w:t>
            </w:r>
          </w:p>
        </w:tc>
        <w:tc>
          <w:tcPr>
            <w:tcW w:w="3249" w:type="dxa"/>
          </w:tcPr>
          <w:p w14:paraId="68D8F73E">
            <w:pPr>
              <w:spacing w:before="0" w:after="0" w:line="240" w:lineRule="auto"/>
              <w:jc w:val="left"/>
            </w:pPr>
            <w:r>
              <w:rPr>
                <w:rFonts w:ascii="Times New Roman" w:hAnsi="Times New Roman"/>
                <w:sz w:val="16"/>
              </w:rPr>
              <w:t>protected-area overlap, habitat representativeness, species-specific contribution, contribution density, target achievement, site-level conservation deficit</w:t>
            </w:r>
          </w:p>
        </w:tc>
        <w:tc>
          <w:tcPr>
            <w:tcW w:w="3249" w:type="dxa"/>
          </w:tcPr>
          <w:p w14:paraId="5AB6B059">
            <w:pPr>
              <w:spacing w:before="0" w:after="0" w:line="240" w:lineRule="auto"/>
              <w:jc w:val="left"/>
            </w:pPr>
            <w:r>
              <w:rPr>
                <w:rFonts w:ascii="Times New Roman" w:hAnsi="Times New Roman"/>
                <w:sz w:val="16"/>
              </w:rPr>
              <w:t>Connects field-based persistence evidence with protected-area planning and updated species representation targets.</w:t>
            </w:r>
          </w:p>
        </w:tc>
      </w:tr>
    </w:tbl>
    <w:p w14:paraId="1EDAED0C">
      <w:pPr>
        <w:keepNext/>
        <w:spacing w:after="80" w:line="259" w:lineRule="auto"/>
        <w:jc w:val="center"/>
      </w:pPr>
      <w:r>
        <w:rPr>
          <w:rFonts w:ascii="Times New Roman" w:hAnsi="Times New Roman" w:eastAsia="Times New Roman"/>
          <w:sz w:val="18"/>
        </w:rPr>
        <w:t>Table A2. Raw variables and derived metrics required for abundance, density, effort, behaviour and intactness analyses.</w:t>
      </w:r>
    </w:p>
    <w:p w14:paraId="38303891">
      <w:pPr>
        <w:pStyle w:val="4"/>
        <w:keepNext/>
        <w:spacing w:before="120" w:after="100"/>
        <w:rPr>
          <w:color w:val="auto"/>
        </w:rPr>
      </w:pPr>
      <w:r>
        <w:rPr>
          <w:color w:val="auto"/>
        </w:rPr>
        <w:t>5.3 Historical distribution baselines</w:t>
      </w:r>
    </w:p>
    <w:p w14:paraId="0EB2E0A4">
      <w:pPr>
        <w:jc w:val="both"/>
        <w:rPr>
          <w:color w:val="auto"/>
        </w:rPr>
      </w:pPr>
      <w:r>
        <w:rPr>
          <w:color w:val="auto"/>
        </w:rPr>
        <w:t>Historical species pools will be reconstructed from China vertebrate distribution atlases, national and provincial faunas, protected-area scientific survey reports, museum records, historical field investigations, literature records, Red List distribution information, expert-validated range maps and regional biodiversity inventories. Because historical distributions vary in spatial precision and reliability, the project will construct conservative, intermediate and broad baselines. The conservative baseline will include only high-confidence historical records, the intermediate baseline will combine verified historical records with expert-supported distribution maps, and the broad baseline will use full range polygons or expected distribution areas. The intermediate baseline will serve as the primary analysis, while the conservative and broad baselines will be used to test robustness.</w:t>
      </w:r>
    </w:p>
    <w:p w14:paraId="63A0F169">
      <w:pPr>
        <w:pStyle w:val="4"/>
        <w:keepNext/>
        <w:spacing w:before="120" w:after="100"/>
        <w:rPr>
          <w:color w:val="auto"/>
        </w:rPr>
      </w:pPr>
      <w:r>
        <w:rPr>
          <w:color w:val="auto"/>
        </w:rPr>
        <w:t>5.4 Red List, trait and environmental information</w:t>
      </w:r>
    </w:p>
    <w:p w14:paraId="3AB28366">
      <w:pPr>
        <w:jc w:val="both"/>
        <w:rPr>
          <w:color w:val="auto"/>
        </w:rPr>
      </w:pPr>
      <w:r>
        <w:rPr>
          <w:color w:val="auto"/>
        </w:rPr>
        <w:t>Species-level conservation status will be linked to the China Biodiversity Red List and, where relevant, to the IUCN Red List. Threat categories will be used to derive conservation weights, with LC assigned the lowest weight and CR the highest. DD species will not be treated as low-risk; instead, they will be analysed as a separate knowledge-deficit layer because data deficiency is itself a conservation concern. Trait information will include body mass, trophic guild, diet breadth, habitat breadth, habitat specialisation, home-range size, activity period, generation length, reproductive rate, dispersal ability, range size, endemism, taxonomic group and functional group. Trait data will be compiled from published trait databases, species accounts and expert sources, with uncertainty recorded where information is incomplete.</w:t>
      </w:r>
    </w:p>
    <w:p w14:paraId="1E3B5EA3">
      <w:pPr>
        <w:jc w:val="both"/>
        <w:rPr>
          <w:color w:val="auto"/>
        </w:rPr>
      </w:pPr>
      <w:r>
        <w:rPr>
          <w:color w:val="auto"/>
        </w:rPr>
        <w:t>Environmental and anthropogenic variables will include land-use and land-cover type, forest cover, natural vegetation proportion, habitat fragmentation, elevation, slope, terrain ruggedness, climate variables, human footprint, human population density, road density, distance to roads, night-time lights, livestock pressure, domestic dog activity where available, protected-area status, protected-area category, national park status, distance to protected-area boundary and historical disturbance proxies where available. These variables will be used to explain spatial variation in intactness, silent-range risk and monitoring adequacy.</w:t>
      </w:r>
    </w:p>
    <w:p w14:paraId="168C2A5D">
      <w:pPr>
        <w:pStyle w:val="3"/>
        <w:keepNext/>
        <w:spacing w:before="200" w:after="100"/>
        <w:rPr>
          <w:color w:val="auto"/>
        </w:rPr>
      </w:pPr>
      <w:r>
        <w:rPr>
          <w:color w:val="auto"/>
        </w:rPr>
        <w:t>6. Methodology and Analytical Strategy</w:t>
      </w:r>
    </w:p>
    <w:p w14:paraId="21DFB283">
      <w:pPr>
        <w:pStyle w:val="4"/>
        <w:keepNext/>
        <w:spacing w:before="120" w:after="100"/>
        <w:rPr>
          <w:color w:val="auto"/>
        </w:rPr>
      </w:pPr>
      <w:r>
        <w:rPr>
          <w:color w:val="auto"/>
        </w:rPr>
        <w:t>6.1 Data harmonisation and quality control</w:t>
      </w:r>
    </w:p>
    <w:p w14:paraId="38FE0D67">
      <w:pPr>
        <w:jc w:val="both"/>
        <w:rPr>
          <w:color w:val="auto"/>
        </w:rPr>
      </w:pPr>
      <w:r>
        <w:rPr>
          <w:color w:val="auto"/>
        </w:rPr>
        <w:t>All data sources will be converted into a common species-by-site format. Taxonomic names will be harmonised, duplicated records will be identified, spatial coordinates will be checked against administrative regions and protected-area boundaries, and implausible records will be flagged for expert review. Records will be assigned quality scores based on taxonomic certainty, spatial precision, temporal recency, survey effort and source reliability. The final database will retain uncertainty information rather than forcing all records into binary presence or absence classes.</w:t>
      </w:r>
    </w:p>
    <w:p w14:paraId="207419DC">
      <w:pPr>
        <w:spacing w:after="120" w:line="259" w:lineRule="auto"/>
      </w:pPr>
      <w:r>
        <w:rPr>
          <w:rFonts w:ascii="Times New Roman" w:hAnsi="Times New Roman" w:eastAsia="Times New Roman"/>
          <w:sz w:val="22"/>
        </w:rPr>
        <w:t>Data processing will proceed in two linked streams. First, raw camera-trap records will be normalised into deployment, media, observation and independent-event tables, following open camera-trap data standards and preserving raw timestamps, spatial coordinates, image-level identifications and annotation confidence. Second, these records will be aggregated to species-by-site and species-by-deployment summaries for modelling. Aggregation will use standardised rules for temporal independence, effort correction and spatial nesting, so that RAI, detection frequency, occupancy histories, abundance proxies and behaviour metrics remain traceable to the original image or event records. This structure will allow the project to reproduce PREDICTS-style community matrices while retaining the richer temporal, behavioural and effort information unique to camera-trap data.</w:t>
      </w:r>
    </w:p>
    <w:p w14:paraId="73B763B3">
      <w:pPr>
        <w:spacing w:after="120" w:line="259" w:lineRule="auto"/>
      </w:pPr>
      <w:r>
        <w:rPr>
          <w:rFonts w:ascii="Times New Roman" w:hAnsi="Times New Roman" w:eastAsia="Times New Roman"/>
          <w:sz w:val="22"/>
        </w:rPr>
        <w:t>Quality control will include taxonomic validation, duplicate removal, coordinate checks against province, county and protected-area boundaries, verification of date ranges and camera-days, reconciliation of conflicting species names, flagging of implausible elevation or habitat records, separation of true zeros from missing observations, and assignment of record-level confidence scores. Data products will be stored at multiple resolutions: raw observations, independent events, deployment summaries, species-by-site matrices and final TW-CVII index tables. This design ensures that future data additions can update the index without rebuilding the entire evidence system.</w:t>
      </w:r>
    </w:p>
    <w:p w14:paraId="44A2B4CB">
      <w:pPr>
        <w:pStyle w:val="4"/>
        <w:keepNext/>
        <w:spacing w:before="120" w:after="100"/>
        <w:rPr>
          <w:color w:val="auto"/>
        </w:rPr>
      </w:pPr>
      <w:r>
        <w:rPr>
          <w:color w:val="auto"/>
        </w:rPr>
        <w:t>6.2 Survey adequacy and detection correction</w:t>
      </w:r>
    </w:p>
    <w:p w14:paraId="13A489C1">
      <w:pPr>
        <w:jc w:val="both"/>
        <w:rPr>
          <w:color w:val="auto"/>
        </w:rPr>
      </w:pPr>
      <w:r>
        <w:rPr>
          <w:color w:val="auto"/>
        </w:rPr>
        <w:t xml:space="preserve">Survey adequacy is essential for distinguishing silent ranges from monitoring gaps. Adequacy will be defined using camera-days, number of camera stations, spatial coverage of suitable habitat, survey season, camera placement suitability, repeated survey availability and the detection of ecologically similar species. </w:t>
      </w:r>
      <w:r>
        <w:rPr>
          <w:color w:val="auto"/>
        </w:rPr>
        <w:t>Thresholds will be species- or group-specific and explicitly quantitative; provisional minima derived from cumulative detection-probability curves are: mesocarnivores ≥ 1,000 camera-days and ≥ 15 stations across seasons; large carnivores ≥ 5,000 camera-days and ≥ 30 stations spanning ≥ 12 months; medium-bodied ungulates and ground-dwelling birds ≥ 600–800 camera-days and ≥ 10–12 stations. Group-specific thresholds will be refined empirically against species accumulation and detection-frequency curves.</w:t>
      </w:r>
      <w:r>
        <w:rPr>
          <w:color w:val="auto"/>
        </w:rPr>
        <w:t xml:space="preserve"> Sensitivity analyses will evaluate whether silent-range maps are robust to alternative adequacy thresholds.</w:t>
      </w:r>
    </w:p>
    <w:p w14:paraId="3B8C46F5">
      <w:pPr>
        <w:rPr>
          <w:color w:val="auto"/>
        </w:rPr>
      </w:pPr>
      <w:r>
        <w:rPr>
          <w:rFonts w:ascii="Arial" w:hAnsi="Arial" w:eastAsia="Arial"/>
          <w:b w:val="0"/>
          <w:i w:val="0"/>
          <w:color w:val="auto"/>
          <w:sz w:val="21"/>
        </w:rPr>
        <w:t>Where replicate detection–nondetection histories are available, occupancy models will be used to estimate latent occupancy and detection probability. The basic formulation will be:</w:t>
      </w:r>
    </w:p>
    <w:p w14:paraId="3BF41D63">
      <w:pPr>
        <w:jc w:val="center"/>
        <w:rPr>
          <w:color w:val="auto"/>
        </w:rPr>
      </w:pPr>
      <w:r>
        <w:rPr>
          <w:rFonts w:ascii="Cambria Math" w:hAnsi="Cambria Math" w:eastAsia="Cambria Math"/>
          <w:b w:val="0"/>
          <w:color w:val="auto"/>
          <w:sz w:val="23"/>
        </w:rPr>
        <w:t>zᵢⱼ ~ Bernoulli(ψᵢⱼ)</w:t>
      </w:r>
    </w:p>
    <w:p w14:paraId="543A0AAA">
      <w:pPr>
        <w:jc w:val="center"/>
        <w:rPr>
          <w:color w:val="auto"/>
        </w:rPr>
      </w:pPr>
      <w:r>
        <w:rPr>
          <w:rFonts w:ascii="Cambria Math" w:hAnsi="Cambria Math" w:eastAsia="Cambria Math"/>
          <w:b w:val="0"/>
          <w:color w:val="auto"/>
          <w:sz w:val="23"/>
        </w:rPr>
        <w:t>yᵢⱼₖ ~ Bernoulli(zᵢⱼ pᵢⱼₖ)</w:t>
      </w:r>
    </w:p>
    <w:p w14:paraId="7D40B829">
      <w:pPr>
        <w:rPr>
          <w:color w:val="auto"/>
        </w:rPr>
      </w:pPr>
      <w:r>
        <w:rPr>
          <w:rFonts w:ascii="Arial" w:hAnsi="Arial" w:eastAsia="Arial"/>
          <w:b w:val="0"/>
          <w:i w:val="0"/>
          <w:color w:val="auto"/>
          <w:sz w:val="21"/>
        </w:rPr>
        <w:t>In this formulation, zᵢⱼ is the latent occupancy state of species i in spatial unit j, yᵢⱼₖ is the observed detection or non-detection in replicate k, ψᵢⱼ is occupancy probability and pᵢⱼₖ is detection probability. Occupancy probability will be modelled as a function of habitat, human footprint, protection status, climate, elevation, historical range position, Red List status and species traits. Detection probability will be modelled as a function of camera-days, number of camera stations, survey season, habitat openness, body size, activity period, camera placement and study method. For literature-derived summary data without replicate histories, hierarchical meta-analytic models with species, study, region and protected-area random effects will be used to account for heterogeneous survey design.</w:t>
      </w:r>
      <w:r>
        <w:rPr>
          <w:color w:val="auto"/>
        </w:rPr>
        <w:t xml:space="preserve"> For species lacking replicate detection histories in a given study, detection probability will be borrowed across studies using species-level random effects (cross-study borrowing strength), and abundance-induced heterogeneity in detection will be accommodated using Royle–Nichols (2003) formulations where count data permit.</w:t>
      </w:r>
    </w:p>
    <w:p w14:paraId="4A425804">
      <w:pPr>
        <w:pStyle w:val="4"/>
        <w:keepNext/>
        <w:spacing w:before="120" w:after="100"/>
        <w:rPr>
          <w:color w:val="auto"/>
        </w:rPr>
      </w:pPr>
      <w:r>
        <w:rPr>
          <w:color w:val="auto"/>
        </w:rPr>
        <w:t>6.3 Classification of evidence states</w:t>
      </w:r>
    </w:p>
    <w:p w14:paraId="32D712B2">
      <w:pPr>
        <w:jc w:val="both"/>
        <w:rPr>
          <w:color w:val="auto"/>
        </w:rPr>
      </w:pPr>
      <w:r>
        <w:rPr>
          <w:color w:val="auto"/>
        </w:rPr>
        <w:t xml:space="preserve">After survey adequacy and detection information are assessed, each species-by-site combination will be classified as confirmed persistence, silent range, monitoring gap or newly confirmed occurrence. Confirmed persistence requires historical expectation and recent validated detection. Silent range requires historical expectation, adequate contemporary survey effort and lack of recent detection. Monitoring gap requires historical expectation but inadequate or absent survey effort. Newly confirmed occurrence requires contemporary detection outside the historical baseline. </w:t>
      </w:r>
      <w:r>
        <w:rPr>
          <w:color w:val="auto"/>
        </w:rPr>
        <w:t>The silent-range category will be reported as a probabilistic classification with a per-cell posterior probability rather than a binary label, and high-confidence silent ranges will be defined as those for which non-detection persists across alternative adequacy thresholds, alternative historical baseline tiers and after climate-shift filtering. Silent range will never be interpreted as definitive absence unless supported by repeated high-effort surveys and independent corroborating evidence.</w:t>
      </w:r>
    </w:p>
    <w:p w14:paraId="1900452B">
      <w:pPr>
        <w:pStyle w:val="4"/>
        <w:keepNext/>
        <w:spacing w:before="120" w:after="100"/>
        <w:rPr>
          <w:color w:val="auto"/>
        </w:rPr>
      </w:pPr>
      <w:r>
        <w:rPr>
          <w:color w:val="auto"/>
        </w:rPr>
        <w:t>6.4 Development of TW-CVII and related metrics</w:t>
      </w:r>
    </w:p>
    <w:p w14:paraId="638387D2">
      <w:pPr>
        <w:spacing w:after="120" w:line="259" w:lineRule="auto"/>
        <w:jc w:val="both"/>
        <w:rPr>
          <w:color w:val="auto"/>
        </w:rPr>
      </w:pPr>
      <w:r>
        <w:rPr>
          <w:rFonts w:ascii="Times New Roman" w:hAnsi="Times New Roman" w:eastAsia="Times New Roman"/>
          <w:sz w:val="22"/>
        </w:rPr>
        <w:t>The index system will be developed in five linked forms. Species intactness will measure the proportion of historically expected species currently confirmed. Detection-corrected intactness will use estimated occupancy probabilities instead of raw detections where modelled estimates are available. Threat-weighted intactness will weight species by national Red List status. Functional intactness will use body size, trophic role, functional distinctiveness or trait-space contribution. Abundance-proxy intactness will use effort-corrected independent detections, RAI and relative activity indices where data are sufficiently standardised. Density will be incorporated only as a separate evidence field when derived from robust methods such as spatial capture-recapture, random-encounter models or validated local density estimates; external resources such as TetraDENSITY 2.0 will be used for contextual sensitivity analysis and prior information, not as direct substitutes for local camera-trap abundance.</w:t>
      </w:r>
    </w:p>
    <w:p w14:paraId="46171A29">
      <w:pPr>
        <w:jc w:val="both"/>
        <w:rPr>
          <w:color w:val="auto"/>
        </w:rPr>
      </w:pPr>
      <w:r>
        <w:rPr>
          <w:color w:val="auto"/>
        </w:rPr>
        <w:t>The main Red List weighting scheme will use a geometric series approximating ~50-year extinction probabilities (LC = 1, NT = 2, VU = 4, EN = 8, CR = 16), consistent with the EDGE / RLI weighting tradition (Mooers et al., 2008). DD species will be excluded from the primary TW-CVII denominator and analysed separately as a Data-Deficiency Coverage Index, because data deficiency is itself a conservation concern rather than a low-risk default.</w:t>
      </w:r>
      <w:r>
        <w:rPr>
          <w:color w:val="auto"/>
        </w:rPr>
        <w:t xml:space="preserve"> Alternative weighting schemes will be tested to evaluate whether conservation conclusions depend on normative choices. Functional metrics will be calculated for broad community structure and for key groups such as large carnivores, mesocarnivores, large herbivores, pheasants and other ground-dwelling birds. The comparison between unweighted, threat-weighted and functional intactness will reveal whether assemblages are nominally species-rich but depleted of conservation-priority or functionally important taxa.</w:t>
      </w:r>
      <w:r>
        <w:rPr>
          <w:color w:val="auto"/>
        </w:rPr>
        <w:t xml:space="preserve"> Sensitivity analyses will compare the geometric main scheme against linear (1–5), quadratic (1, 4, 9, 16, 25) and Bayesian probability-based weights drawn from published extinction-risk priors.</w:t>
      </w:r>
    </w:p>
    <w:p w14:paraId="5339AC34">
      <w:pPr>
        <w:pStyle w:val="4"/>
        <w:keepNext/>
        <w:spacing w:before="120" w:after="100"/>
        <w:rPr>
          <w:color w:val="auto"/>
        </w:rPr>
      </w:pPr>
      <w:r>
        <w:rPr>
          <w:color w:val="auto"/>
        </w:rPr>
        <w:t>6.5 Modelling drivers of intactness and hidden defaunation</w:t>
      </w:r>
    </w:p>
    <w:p w14:paraId="3C721138">
      <w:pPr>
        <w:jc w:val="both"/>
        <w:rPr>
          <w:color w:val="auto"/>
        </w:rPr>
      </w:pPr>
      <w:r>
        <w:rPr>
          <w:color w:val="auto"/>
        </w:rPr>
        <w:t>Intactness scores will be modelled as functions of human pressure, land use, habitat condition, protection status, climate, topography, biogeographic region and survey effort. Depending on response distribution and spatial structure, models will include beta regression, generalised additive models, Bayesian hierarchical models and spatial random effects. Silent-range risk will be modelled at the species-by-site level as a function of site-level covariates, species traits, Red List category, historical range position and random effects for species and spatial units. This will test whether silent ranges are disproportionately associated with threatened status, large body size, carnivory, habitat specialisation, high human pressure, low habitat connectivity or weak protection.</w:t>
      </w:r>
      <w:r>
        <w:rPr>
          <w:color w:val="auto"/>
        </w:rPr>
        <w:t xml:space="preserve"> A climate-shift filter will be applied as a second-stage classifier: silent ranges in spatial units whose climatic envelope has shifted beyond a species’ historical thermal niche (using 1950s–2020s climate normals) will be flagged as climate-explainable, separating climate-driven range repositioning from anthropogenic defaunation following Chen et al. (2011, Science).</w:t>
      </w:r>
    </w:p>
    <w:p w14:paraId="0B60066B">
      <w:pPr>
        <w:pStyle w:val="4"/>
        <w:keepNext/>
        <w:spacing w:before="120" w:after="100"/>
        <w:rPr>
          <w:color w:val="auto"/>
        </w:rPr>
      </w:pPr>
      <w:r>
        <w:rPr>
          <w:color w:val="auto"/>
        </w:rPr>
        <w:t>6.6 Protected-area effectiveness assessment</w:t>
      </w:r>
    </w:p>
    <w:p w14:paraId="0654468F">
      <w:pPr>
        <w:jc w:val="both"/>
        <w:rPr>
          <w:color w:val="auto"/>
        </w:rPr>
      </w:pPr>
      <w:r>
        <w:rPr>
          <w:color w:val="auto"/>
        </w:rPr>
        <w:t>Protected-area effectiveness will be evaluated by comparing protected and non-protected landscapes while controlling for environmental differences and spatial bias. The analysis will use matched comparisons, propensity-score matching, within-ecoregion comparisons, distance-to-boundary designs and hierarchical models with protected-area random effects. The main response variables will be species intactness, detection-corrected intactness, threat-weighted intactness, functional intactness, trophic intactness, silent-range proportion, monitoring adequacy and species-specific representation contribution. This design will test whether protected areas provide additional evidence of persistence beyond their tendency to be located in remote, mountainous or less disturbed landscapes. It will also link field-based persistence evidence with recent habitat-representation and species-target frameworks, allowing protected areas to be evaluated not only by habitat coverage but also by whether they retain threatened, functionally important and historically expected vertebrates (Chen et al., 2022; Tseng et al., 2025; Sreekar &amp; Watson, 2026).</w:t>
      </w:r>
      <w:r>
        <w:rPr>
          <w:color w:val="auto"/>
        </w:rPr>
        <w:t xml:space="preserve"> Critically, propensity-score matching will explicitly include sampling-effort density (log camera-days per km²) as a matching covariate, so that apparent protected-area effects are not driven by the higher monitoring intensity typical of reserves.</w:t>
      </w:r>
    </w:p>
    <w:p w14:paraId="4FAFD315">
      <w:pPr>
        <w:pStyle w:val="4"/>
        <w:keepNext/>
        <w:spacing w:before="120" w:after="100"/>
        <w:rPr>
          <w:color w:val="auto"/>
        </w:rPr>
      </w:pPr>
      <w:r>
        <w:rPr>
          <w:color w:val="auto"/>
        </w:rPr>
        <w:t>6.7 Red List consistency and early-warning analysis</w:t>
      </w:r>
    </w:p>
    <w:p w14:paraId="563E3577">
      <w:pPr>
        <w:jc w:val="both"/>
        <w:rPr>
          <w:color w:val="auto"/>
        </w:rPr>
      </w:pPr>
      <w:r>
        <w:rPr>
          <w:color w:val="auto"/>
        </w:rPr>
        <w:t>The project will evaluate whether national Red List categories are consistent with contemporary survey evidence. Species-level models will assess whether higher-risk categories have lower confirmed persistence, higher silent-range proportions, lower effort-corrected detection and lower abundance-proxy values. Species that are formally LC or NT but show low confirmed persistence, high silent-range proportions or strong restriction to a small number of protected areas will be flagged as early-warning candidates. DD species will be ranked by overlap between historical expectation, monitoring gap and conservation importance, providing a priority list for targeted surveys.</w:t>
      </w:r>
    </w:p>
    <w:p w14:paraId="5E495C42">
      <w:pPr>
        <w:pStyle w:val="4"/>
        <w:keepNext/>
        <w:spacing w:before="120" w:after="100"/>
        <w:rPr>
          <w:color w:val="auto"/>
        </w:rPr>
      </w:pPr>
      <w:r>
        <w:rPr>
          <w:color w:val="auto"/>
        </w:rPr>
        <w:t>6.8 Robustness and sensitivity analyses</w:t>
      </w:r>
    </w:p>
    <w:p w14:paraId="59E0A0B6">
      <w:pPr>
        <w:jc w:val="both"/>
        <w:rPr>
          <w:color w:val="auto"/>
        </w:rPr>
      </w:pPr>
      <w:r>
        <w:rPr>
          <w:color w:val="auto"/>
        </w:rPr>
        <w:t>Robustness will be evaluated using alternative historical baselines, survey adequacy thresholds, Red List weighting schemes, independent-detection definitions, spatial resolutions and taxonomic subsets. Analyses will be repeated for mammals and ground-dwelling birds separately, and for protected-area and grid-cell spatial units separately. Low-confidence records will be excluded in sensitivity tests, spatially clustered survey points will be thinned where necessary, and models with and without complementary ecological survey evidence will be compared. These tests will ensure that the main conclusions are not artefacts of baseline choice, survey heterogeneity or taxonomic bias.</w:t>
      </w:r>
      <w:r>
        <w:rPr>
          <w:color w:val="auto"/>
        </w:rPr>
        <w:t xml:space="preserve"> Because the full analytical matrix produces a large number of species×site classifications, per-species false-discovery-rate correction (Benjamini–Hochberg, α = 0.10) will be applied to silent-range calls to control the expected proportion of false positives.</w:t>
      </w:r>
    </w:p>
    <w:p>
      <w:pPr>
        <w:pStyle w:val="3"/>
        <w:keepNext/>
      </w:pPr>
      <w:r>
        <w:rPr>
          <w:b w:val="0"/>
          <w:i w:val="0"/>
        </w:rPr>
        <w:t>7. End-to-End Literature-to-Database-to-Manuscript Workflow</w:t>
      </w:r>
    </w:p>
    <w:p>
      <w:pPr/>
      <w:r>
        <w:rPr>
          <w:b w:val="0"/>
          <w:i w:val="0"/>
        </w:rPr>
        <w:t>The project will be executed as a reproducible research production system rather than as a one-off literature compilation. This is necessary because the core evidence base is heterogeneous: Chinese and English articles, monitoring reports, camera-trap tables, supplementary files, PDFs, CAJ files, figures, maps and partly standardised survey records must be transformed into a provenance-preserving relational database before TW-CVII can be estimated defensibly.</w:t>
      </w:r>
    </w:p>
    <w:p>
      <w:pPr/>
      <w:r>
        <w:rPr>
          <w:b w:val="0"/>
          <w:i w:val="0"/>
        </w:rPr>
        <w:t>The workflow formalises the pathway sketched in the project notes: browser and database search, authorised full-text download, Zotero ingestion, AI-assisted PDF reading, field-level extraction, human validation, standardised database construction, scripted analysis, figure generation and citation-audited manuscript writing. It also makes the distinction between raw evidence, cleaned data and derived indicators explicit, preventing AI extraction from silently becoming accepted data.</w:t>
      </w:r>
    </w:p>
    <w:p>
      <w:pPr/>
      <w:r>
        <w:rPr>
          <w:b w:val="0"/>
          <w:i w:val="0"/>
        </w:rPr>
        <w:t>This design is aligned with the trajectory of Chinese camera-trap research. Xiao et al. (2022) reviewed camera-trap studies in China from 1991 to 2021 and organised recent work around technical methods, species discovery and inventory, morphology and behaviour, ecological research, and conservation management. The same review emphasised the growing role of intelligent sensors, artificial intelligence and information technology in biodiversity conservation. The national technical guidance for camera-trap biodiversity observation likewise treats data storage, data organisation, observation indicators, data analysis, sharing, quality control and safety management as formal parts of the monitoring system rather than as downstream afterthoughts.</w:t>
      </w:r>
    </w:p>
    <w:tbl>
      <w:tblPr>
        <w:tblStyle w:val="33"/>
        <w:tblW w:type="dxa" w:w="9360"/>
        <w:jc w:val="left"/>
        <w:tblLayout w:type="fixed"/>
        <w:tblLook w:firstColumn="1" w:firstRow="1" w:lastColumn="0" w:lastRow="0" w:noHBand="0" w:noVBand="1" w:val="04A0"/>
        <w:tblInd w:w="120" w:type="dxa"/>
      </w:tblPr>
      <w:tblGrid>
        <w:gridCol w:w="4873"/>
        <w:gridCol w:w="4873"/>
      </w:tblGrid>
      <w:tr>
        <w:trPr>
          <w:cantSplit/>
          <w:tblHeader w:val="true"/>
        </w:trPr>
        <w:tc>
          <w:tcPr>
            <w:tcW w:type="dxa" w:w="2232"/>
            <w:vAlign w:val="center"/>
            <w:tcMar>
              <w:top w:w="80" w:type="dxa"/>
              <w:start w:w="120" w:type="dxa"/>
              <w:bottom w:w="80" w:type="dxa"/>
              <w:end w:w="120" w:type="dxa"/>
            </w:tcMar>
            <w:shd w:fill="E8EEF5"/>
          </w:tcPr>
          <w:p>
            <w:pPr>
              <w:spacing w:after="40"/>
            </w:pPr>
            <w:r>
              <w:rPr>
                <w:b/>
                <w:sz w:val="18"/>
              </w:rPr>
              <w:t>Operational pipeline</w:t>
            </w:r>
          </w:p>
        </w:tc>
        <w:tc>
          <w:tcPr>
            <w:tcW w:type="dxa" w:w="7128"/>
            <w:vAlign w:val="center"/>
            <w:tcMar>
              <w:top w:w="80" w:type="dxa"/>
              <w:start w:w="120" w:type="dxa"/>
              <w:bottom w:w="80" w:type="dxa"/>
              <w:end w:w="120" w:type="dxa"/>
            </w:tcMar>
            <w:shd w:fill="E8EEF5"/>
          </w:tcPr>
          <w:p>
            <w:pPr>
              <w:spacing w:after="40"/>
            </w:pPr>
            <w:r>
              <w:rPr>
                <w:b/>
                <w:sz w:val="18"/>
              </w:rPr>
              <w:t>Search in CNKI, Web of Science, Biodiversity Science, Google Scholar and institutional catalogues -&gt; export RIS/BibTeX/EndNote records -&gt; ingest into Zotero -&gt; acquire authorised PDFs/CAJ files -&gt; index via Zotero and OneFind -&gt; extract study/site/deployment/species fields with Codex or Claude Code -&gt; validate against PDFs -&gt; clean taxonomy, dates, coordinates and effort -&gt; write to a versioned relational database -&gt; run R/Python analyses and maps -&gt; draft manuscripts with Zotero citekeys and claim-reference audit.</w:t>
            </w:r>
          </w:p>
        </w:tc>
      </w:tr>
    </w:tbl>
    <w:p>
      <w:pPr>
        <w:pStyle w:val="4"/>
        <w:keepNext/>
      </w:pPr>
      <w:r>
        <w:rPr>
          <w:b w:val="0"/>
          <w:i w:val="0"/>
        </w:rPr>
        <w:t>7.1 Literature Discovery, Export and Acquisition</w:t>
      </w:r>
    </w:p>
    <w:p>
      <w:pPr/>
      <w:r>
        <w:rPr>
          <w:b w:val="0"/>
          <w:i w:val="0"/>
        </w:rPr>
        <w:t>Searches will be run in both English and Chinese databases. Web of Science and Scopus-style searches will prioritise internationally indexed camera-trap and biodiversity-intactness literature. CNKI, Wanfang, Biodiversity Science, Acta Theriologica Sinica, National Parks and protected-area journals will capture Chinese camera-trap surveys, monitoring reports and local records that are often absent from global databases. Each search must be logged with database, search string, language, date, hit count, export format and inclusion decision.</w:t>
      </w:r>
    </w:p>
    <w:p>
      <w:pPr/>
      <w:r>
        <w:rPr>
          <w:b w:val="0"/>
          <w:i w:val="0"/>
        </w:rPr>
        <w:t>The preferred export unit is a structured citation file, not a screenshot or copied bibliography. Web of Science, CNKI and journal sites should be exported as RIS, BibTeX, EndNote XML or CSV where available. The browser may be used for targeted discovery and full-text access, but citation metadata must be routed into Zotero before extraction begins. Zotero Connector will be used on article landing pages where possible because it captures bibliographic metadata and often saves accessible PDFs; direct PDF saving is reserved for cases where the landing page metadata is unavailable or unreliable.</w:t>
      </w:r>
    </w:p>
    <w:p>
      <w:pPr/>
      <w:r>
        <w:rPr>
          <w:b w:val="0"/>
          <w:i w:val="0"/>
        </w:rPr>
        <w:t>Full-text downloading will be limited to open-access, institutional-access or otherwise authorised sources. Browser helper scripts, including Greasy Fork scripts, may be used only to automate repetitive clicks or file naming on authorised pages; they are not part of a bypass workflow. Every PDF or CAJ file receives a file-level record containing source URL, access route, download date, checksum, Zotero item key and extraction status.</w:t>
      </w:r>
    </w:p>
    <w:p>
      <w:pPr>
        <w:keepNext/>
        <w:spacing w:after="80"/>
      </w:pPr>
      <w:r>
        <w:rPr>
          <w:b w:val="0"/>
          <w:i/>
        </w:rPr>
        <w:t>Table W1. Search and acquisition protocol.</w:t>
      </w:r>
    </w:p>
    <w:tbl>
      <w:tblPr>
        <w:tblStyle w:val="33"/>
        <w:tblW w:type="dxa" w:w="9360"/>
        <w:jc w:val="left"/>
        <w:tblLayout w:type="fixed"/>
        <w:tblLook w:firstColumn="1" w:firstRow="1" w:lastColumn="0" w:lastRow="0" w:noHBand="0" w:noVBand="1" w:val="04A0"/>
        <w:tblInd w:w="120" w:type="dxa"/>
      </w:tblPr>
      <w:tblGrid>
        <w:gridCol w:w="2436"/>
        <w:gridCol w:w="2436"/>
        <w:gridCol w:w="2436"/>
        <w:gridCol w:w="2436"/>
      </w:tblGrid>
      <w:tr>
        <w:trPr>
          <w:cantSplit/>
          <w:tblHeader w:val="true"/>
        </w:trPr>
        <w:tc>
          <w:tcPr>
            <w:tcW w:type="dxa" w:w="1224"/>
            <w:vAlign w:val="center"/>
            <w:tcMar>
              <w:top w:w="80" w:type="dxa"/>
              <w:start w:w="120" w:type="dxa"/>
              <w:bottom w:w="80" w:type="dxa"/>
              <w:end w:w="120" w:type="dxa"/>
            </w:tcMar>
            <w:shd w:fill="F4F6F9"/>
          </w:tcPr>
          <w:p>
            <w:pPr>
              <w:spacing w:after="20" w:line="240" w:lineRule="auto"/>
            </w:pPr>
            <w:r>
              <w:rPr>
                <w:b/>
                <w:sz w:val="17"/>
              </w:rPr>
              <w:t>Step</w:t>
            </w:r>
          </w:p>
        </w:tc>
        <w:tc>
          <w:tcPr>
            <w:tcW w:type="dxa" w:w="2951"/>
            <w:vAlign w:val="center"/>
            <w:tcMar>
              <w:top w:w="80" w:type="dxa"/>
              <w:start w:w="120" w:type="dxa"/>
              <w:bottom w:w="80" w:type="dxa"/>
              <w:end w:w="120" w:type="dxa"/>
            </w:tcMar>
            <w:shd w:fill="F4F6F9"/>
          </w:tcPr>
          <w:p>
            <w:pPr>
              <w:spacing w:after="20" w:line="240" w:lineRule="auto"/>
            </w:pPr>
            <w:r>
              <w:rPr>
                <w:b/>
                <w:sz w:val="17"/>
              </w:rPr>
              <w:t>Action</w:t>
            </w:r>
          </w:p>
        </w:tc>
        <w:tc>
          <w:tcPr>
            <w:tcW w:type="dxa" w:w="2232"/>
            <w:vAlign w:val="center"/>
            <w:tcMar>
              <w:top w:w="80" w:type="dxa"/>
              <w:start w:w="120" w:type="dxa"/>
              <w:bottom w:w="80" w:type="dxa"/>
              <w:end w:w="120" w:type="dxa"/>
            </w:tcMar>
            <w:shd w:fill="F4F6F9"/>
          </w:tcPr>
          <w:p>
            <w:pPr>
              <w:spacing w:after="20" w:line="240" w:lineRule="auto"/>
            </w:pPr>
            <w:r>
              <w:rPr>
                <w:b/>
                <w:sz w:val="17"/>
              </w:rPr>
              <w:t>Output</w:t>
            </w:r>
          </w:p>
        </w:tc>
        <w:tc>
          <w:tcPr>
            <w:tcW w:type="dxa" w:w="2951"/>
            <w:vAlign w:val="center"/>
            <w:tcMar>
              <w:top w:w="80" w:type="dxa"/>
              <w:start w:w="120" w:type="dxa"/>
              <w:bottom w:w="80" w:type="dxa"/>
              <w:end w:w="120" w:type="dxa"/>
            </w:tcMar>
            <w:shd w:fill="F4F6F9"/>
          </w:tcPr>
          <w:p>
            <w:pPr>
              <w:spacing w:after="20" w:line="240" w:lineRule="auto"/>
            </w:pPr>
            <w:r>
              <w:rPr>
                <w:b/>
                <w:sz w:val="17"/>
              </w:rPr>
              <w:t>Quality gate</w:t>
            </w:r>
          </w:p>
        </w:tc>
      </w:tr>
      <w:tr>
        <w:trPr>
          <w:cantSplit/>
        </w:trPr>
        <w:tc>
          <w:tcPr>
            <w:tcW w:type="dxa" w:w="1224"/>
            <w:vAlign w:val="center"/>
            <w:tcMar>
              <w:top w:w="80" w:type="dxa"/>
              <w:start w:w="120" w:type="dxa"/>
              <w:bottom w:w="80" w:type="dxa"/>
              <w:end w:w="120" w:type="dxa"/>
            </w:tcMar>
          </w:tcPr>
          <w:p>
            <w:pPr>
              <w:spacing w:after="20" w:line="240" w:lineRule="auto"/>
            </w:pPr>
            <w:r>
              <w:rPr>
                <w:sz w:val="17"/>
              </w:rPr>
              <w:t>Search design</w:t>
            </w:r>
          </w:p>
        </w:tc>
        <w:tc>
          <w:tcPr>
            <w:tcW w:type="dxa" w:w="2951"/>
            <w:vAlign w:val="center"/>
            <w:tcMar>
              <w:top w:w="80" w:type="dxa"/>
              <w:start w:w="120" w:type="dxa"/>
              <w:bottom w:w="80" w:type="dxa"/>
              <w:end w:w="120" w:type="dxa"/>
            </w:tcMar>
          </w:tcPr>
          <w:p>
            <w:pPr>
              <w:spacing w:after="20" w:line="240" w:lineRule="auto"/>
            </w:pPr>
            <w:r>
              <w:rPr>
                <w:sz w:val="17"/>
              </w:rPr>
              <w:t>Define bilingual query blocks: camera trap/infrared camera, China/province/protected area, mammal/bird/vertebrate, RAI/occupancy/richness/intactness, Red List/protected area.</w:t>
            </w:r>
          </w:p>
        </w:tc>
        <w:tc>
          <w:tcPr>
            <w:tcW w:type="dxa" w:w="2232"/>
            <w:vAlign w:val="center"/>
            <w:tcMar>
              <w:top w:w="80" w:type="dxa"/>
              <w:start w:w="120" w:type="dxa"/>
              <w:bottom w:w="80" w:type="dxa"/>
              <w:end w:w="120" w:type="dxa"/>
            </w:tcMar>
          </w:tcPr>
          <w:p>
            <w:pPr>
              <w:spacing w:after="20" w:line="240" w:lineRule="auto"/>
            </w:pPr>
            <w:r>
              <w:rPr>
                <w:sz w:val="17"/>
              </w:rPr>
              <w:t>search_strategy.md; search_log.csv</w:t>
            </w:r>
          </w:p>
        </w:tc>
        <w:tc>
          <w:tcPr>
            <w:tcW w:type="dxa" w:w="2951"/>
            <w:vAlign w:val="center"/>
            <w:tcMar>
              <w:top w:w="80" w:type="dxa"/>
              <w:start w:w="120" w:type="dxa"/>
              <w:bottom w:w="80" w:type="dxa"/>
              <w:end w:w="120" w:type="dxa"/>
            </w:tcMar>
          </w:tcPr>
          <w:p>
            <w:pPr>
              <w:spacing w:after="20" w:line="240" w:lineRule="auto"/>
            </w:pPr>
            <w:r>
              <w:rPr>
                <w:sz w:val="17"/>
              </w:rPr>
              <w:t>Queries reproducible; date and database recorded.</w:t>
            </w:r>
          </w:p>
        </w:tc>
      </w:tr>
      <w:tr>
        <w:trPr>
          <w:cantSplit/>
        </w:trPr>
        <w:tc>
          <w:tcPr>
            <w:tcW w:type="dxa" w:w="1224"/>
            <w:vAlign w:val="center"/>
            <w:tcMar>
              <w:top w:w="80" w:type="dxa"/>
              <w:start w:w="120" w:type="dxa"/>
              <w:bottom w:w="80" w:type="dxa"/>
              <w:end w:w="120" w:type="dxa"/>
            </w:tcMar>
          </w:tcPr>
          <w:p>
            <w:pPr>
              <w:spacing w:after="20" w:line="240" w:lineRule="auto"/>
            </w:pPr>
            <w:r>
              <w:rPr>
                <w:sz w:val="17"/>
              </w:rPr>
              <w:t>Citation export</w:t>
            </w:r>
          </w:p>
        </w:tc>
        <w:tc>
          <w:tcPr>
            <w:tcW w:type="dxa" w:w="2951"/>
            <w:vAlign w:val="center"/>
            <w:tcMar>
              <w:top w:w="80" w:type="dxa"/>
              <w:start w:w="120" w:type="dxa"/>
              <w:bottom w:w="80" w:type="dxa"/>
              <w:end w:w="120" w:type="dxa"/>
            </w:tcMar>
          </w:tcPr>
          <w:p>
            <w:pPr>
              <w:spacing w:after="20" w:line="240" w:lineRule="auto"/>
            </w:pPr>
            <w:r>
              <w:rPr>
                <w:sz w:val="17"/>
              </w:rPr>
              <w:t>Export references from Web of Science, CNKI, Biodiversity Science and journal platforms as RIS, BibTeX, EndNote XML or CSV.</w:t>
            </w:r>
          </w:p>
        </w:tc>
        <w:tc>
          <w:tcPr>
            <w:tcW w:type="dxa" w:w="2232"/>
            <w:vAlign w:val="center"/>
            <w:tcMar>
              <w:top w:w="80" w:type="dxa"/>
              <w:start w:w="120" w:type="dxa"/>
              <w:bottom w:w="80" w:type="dxa"/>
              <w:end w:w="120" w:type="dxa"/>
            </w:tcMar>
          </w:tcPr>
          <w:p>
            <w:pPr>
              <w:spacing w:after="20" w:line="240" w:lineRule="auto"/>
            </w:pPr>
            <w:r>
              <w:rPr>
                <w:sz w:val="17"/>
              </w:rPr>
              <w:t>raw_exports/ plus import_manifest.csv</w:t>
            </w:r>
          </w:p>
        </w:tc>
        <w:tc>
          <w:tcPr>
            <w:tcW w:type="dxa" w:w="2951"/>
            <w:vAlign w:val="center"/>
            <w:tcMar>
              <w:top w:w="80" w:type="dxa"/>
              <w:start w:w="120" w:type="dxa"/>
              <w:bottom w:w="80" w:type="dxa"/>
              <w:end w:w="120" w:type="dxa"/>
            </w:tcMar>
          </w:tcPr>
          <w:p>
            <w:pPr>
              <w:spacing w:after="20" w:line="240" w:lineRule="auto"/>
            </w:pPr>
            <w:r>
              <w:rPr>
                <w:sz w:val="17"/>
              </w:rPr>
              <w:t>Record count before/after import reconciled.</w:t>
            </w:r>
          </w:p>
        </w:tc>
      </w:tr>
      <w:tr>
        <w:trPr>
          <w:cantSplit/>
        </w:trPr>
        <w:tc>
          <w:tcPr>
            <w:tcW w:type="dxa" w:w="1224"/>
            <w:vAlign w:val="center"/>
            <w:tcMar>
              <w:top w:w="80" w:type="dxa"/>
              <w:start w:w="120" w:type="dxa"/>
              <w:bottom w:w="80" w:type="dxa"/>
              <w:end w:w="120" w:type="dxa"/>
            </w:tcMar>
          </w:tcPr>
          <w:p>
            <w:pPr>
              <w:spacing w:after="20" w:line="240" w:lineRule="auto"/>
            </w:pPr>
            <w:r>
              <w:rPr>
                <w:sz w:val="17"/>
              </w:rPr>
              <w:t>Zotero ingestion</w:t>
            </w:r>
          </w:p>
        </w:tc>
        <w:tc>
          <w:tcPr>
            <w:tcW w:type="dxa" w:w="2951"/>
            <w:vAlign w:val="center"/>
            <w:tcMar>
              <w:top w:w="80" w:type="dxa"/>
              <w:start w:w="120" w:type="dxa"/>
              <w:bottom w:w="80" w:type="dxa"/>
              <w:end w:w="120" w:type="dxa"/>
            </w:tcMar>
          </w:tcPr>
          <w:p>
            <w:pPr>
              <w:spacing w:after="20" w:line="240" w:lineRule="auto"/>
            </w:pPr>
            <w:r>
              <w:rPr>
                <w:sz w:val="17"/>
              </w:rPr>
              <w:t>Import records into project collection, deduplicate, tag by evidence type, attach DOI/URL, language and screening status.</w:t>
            </w:r>
          </w:p>
        </w:tc>
        <w:tc>
          <w:tcPr>
            <w:tcW w:type="dxa" w:w="2232"/>
            <w:vAlign w:val="center"/>
            <w:tcMar>
              <w:top w:w="80" w:type="dxa"/>
              <w:start w:w="120" w:type="dxa"/>
              <w:bottom w:w="80" w:type="dxa"/>
              <w:end w:w="120" w:type="dxa"/>
            </w:tcMar>
          </w:tcPr>
          <w:p>
            <w:pPr>
              <w:spacing w:after="20" w:line="240" w:lineRule="auto"/>
            </w:pPr>
            <w:r>
              <w:rPr>
                <w:sz w:val="17"/>
              </w:rPr>
              <w:t>Zotero collection; references.bib</w:t>
            </w:r>
          </w:p>
        </w:tc>
        <w:tc>
          <w:tcPr>
            <w:tcW w:type="dxa" w:w="2951"/>
            <w:vAlign w:val="center"/>
            <w:tcMar>
              <w:top w:w="80" w:type="dxa"/>
              <w:start w:w="120" w:type="dxa"/>
              <w:bottom w:w="80" w:type="dxa"/>
              <w:end w:w="120" w:type="dxa"/>
            </w:tcMar>
          </w:tcPr>
          <w:p>
            <w:pPr>
              <w:spacing w:after="20" w:line="240" w:lineRule="auto"/>
            </w:pPr>
            <w:r>
              <w:rPr>
                <w:sz w:val="17"/>
              </w:rPr>
              <w:t>No orphan citation without source metadata.</w:t>
            </w:r>
          </w:p>
        </w:tc>
      </w:tr>
      <w:tr>
        <w:trPr>
          <w:cantSplit/>
        </w:trPr>
        <w:tc>
          <w:tcPr>
            <w:tcW w:type="dxa" w:w="1224"/>
            <w:vAlign w:val="center"/>
            <w:tcMar>
              <w:top w:w="80" w:type="dxa"/>
              <w:start w:w="120" w:type="dxa"/>
              <w:bottom w:w="80" w:type="dxa"/>
              <w:end w:w="120" w:type="dxa"/>
            </w:tcMar>
          </w:tcPr>
          <w:p>
            <w:pPr>
              <w:spacing w:after="20" w:line="240" w:lineRule="auto"/>
            </w:pPr>
            <w:r>
              <w:rPr>
                <w:sz w:val="17"/>
              </w:rPr>
              <w:t>Full-text acquisition</w:t>
            </w:r>
          </w:p>
        </w:tc>
        <w:tc>
          <w:tcPr>
            <w:tcW w:type="dxa" w:w="2951"/>
            <w:vAlign w:val="center"/>
            <w:tcMar>
              <w:top w:w="80" w:type="dxa"/>
              <w:start w:w="120" w:type="dxa"/>
              <w:bottom w:w="80" w:type="dxa"/>
              <w:end w:w="120" w:type="dxa"/>
            </w:tcMar>
          </w:tcPr>
          <w:p>
            <w:pPr>
              <w:spacing w:after="20" w:line="240" w:lineRule="auto"/>
            </w:pPr>
            <w:r>
              <w:rPr>
                <w:sz w:val="17"/>
              </w:rPr>
              <w:t>Download open, institutional or authorised PDFs/CAJ files; store as Zotero child attachments or controlled linked files.</w:t>
            </w:r>
          </w:p>
        </w:tc>
        <w:tc>
          <w:tcPr>
            <w:tcW w:type="dxa" w:w="2232"/>
            <w:vAlign w:val="center"/>
            <w:tcMar>
              <w:top w:w="80" w:type="dxa"/>
              <w:start w:w="120" w:type="dxa"/>
              <w:bottom w:w="80" w:type="dxa"/>
              <w:end w:w="120" w:type="dxa"/>
            </w:tcMar>
          </w:tcPr>
          <w:p>
            <w:pPr>
              <w:spacing w:after="20" w:line="240" w:lineRule="auto"/>
            </w:pPr>
            <w:r>
              <w:rPr>
                <w:sz w:val="17"/>
              </w:rPr>
              <w:t>pdf_manifest.csv; checksums</w:t>
            </w:r>
          </w:p>
        </w:tc>
        <w:tc>
          <w:tcPr>
            <w:tcW w:type="dxa" w:w="2951"/>
            <w:vAlign w:val="center"/>
            <w:tcMar>
              <w:top w:w="80" w:type="dxa"/>
              <w:start w:w="120" w:type="dxa"/>
              <w:bottom w:w="80" w:type="dxa"/>
              <w:end w:w="120" w:type="dxa"/>
            </w:tcMar>
          </w:tcPr>
          <w:p>
            <w:pPr>
              <w:spacing w:after="20" w:line="240" w:lineRule="auto"/>
            </w:pPr>
            <w:r>
              <w:rPr>
                <w:sz w:val="17"/>
              </w:rPr>
              <w:t>Each file linked to one citation and one access route.</w:t>
            </w:r>
          </w:p>
        </w:tc>
      </w:tr>
      <w:tr>
        <w:trPr>
          <w:cantSplit/>
        </w:trPr>
        <w:tc>
          <w:tcPr>
            <w:tcW w:type="dxa" w:w="1224"/>
            <w:vAlign w:val="center"/>
            <w:tcMar>
              <w:top w:w="80" w:type="dxa"/>
              <w:start w:w="120" w:type="dxa"/>
              <w:bottom w:w="80" w:type="dxa"/>
              <w:end w:w="120" w:type="dxa"/>
            </w:tcMar>
          </w:tcPr>
          <w:p>
            <w:pPr>
              <w:spacing w:after="20" w:line="240" w:lineRule="auto"/>
            </w:pPr>
            <w:r>
              <w:rPr>
                <w:sz w:val="17"/>
              </w:rPr>
              <w:t>Screening</w:t>
            </w:r>
          </w:p>
        </w:tc>
        <w:tc>
          <w:tcPr>
            <w:tcW w:type="dxa" w:w="2951"/>
            <w:vAlign w:val="center"/>
            <w:tcMar>
              <w:top w:w="80" w:type="dxa"/>
              <w:start w:w="120" w:type="dxa"/>
              <w:bottom w:w="80" w:type="dxa"/>
              <w:end w:w="120" w:type="dxa"/>
            </w:tcMar>
          </w:tcPr>
          <w:p>
            <w:pPr>
              <w:spacing w:after="20" w:line="240" w:lineRule="auto"/>
            </w:pPr>
            <w:r>
              <w:rPr>
                <w:sz w:val="17"/>
              </w:rPr>
              <w:t>Title/abstract/full-text screen for camera-trap relevance, geography, taxa, usable variables and extraction priority.</w:t>
            </w:r>
          </w:p>
        </w:tc>
        <w:tc>
          <w:tcPr>
            <w:tcW w:type="dxa" w:w="2232"/>
            <w:vAlign w:val="center"/>
            <w:tcMar>
              <w:top w:w="80" w:type="dxa"/>
              <w:start w:w="120" w:type="dxa"/>
              <w:bottom w:w="80" w:type="dxa"/>
              <w:end w:w="120" w:type="dxa"/>
            </w:tcMar>
          </w:tcPr>
          <w:p>
            <w:pPr>
              <w:spacing w:after="20" w:line="240" w:lineRule="auto"/>
            </w:pPr>
            <w:r>
              <w:rPr>
                <w:sz w:val="17"/>
              </w:rPr>
              <w:t>screening_decisions.csv</w:t>
            </w:r>
          </w:p>
        </w:tc>
        <w:tc>
          <w:tcPr>
            <w:tcW w:type="dxa" w:w="2951"/>
            <w:vAlign w:val="center"/>
            <w:tcMar>
              <w:top w:w="80" w:type="dxa"/>
              <w:start w:w="120" w:type="dxa"/>
              <w:bottom w:w="80" w:type="dxa"/>
              <w:end w:w="120" w:type="dxa"/>
            </w:tcMar>
          </w:tcPr>
          <w:p>
            <w:pPr>
              <w:spacing w:after="20" w:line="240" w:lineRule="auto"/>
            </w:pPr>
            <w:r>
              <w:rPr>
                <w:sz w:val="17"/>
              </w:rPr>
              <w:t>Two-pass decision for ambiguous or high-value studies.</w:t>
            </w:r>
          </w:p>
        </w:tc>
      </w:tr>
    </w:tbl>
    <w:p>
      <w:pPr>
        <w:pStyle w:val="4"/>
        <w:keepNext/>
      </w:pPr>
      <w:r>
        <w:rPr>
          <w:b w:val="0"/>
          <w:i w:val="0"/>
        </w:rPr>
        <w:t>7.2 Zotero and OneFind Knowledge Base</w:t>
      </w:r>
    </w:p>
    <w:p>
      <w:pPr/>
      <w:r>
        <w:rPr>
          <w:b w:val="0"/>
          <w:i w:val="0"/>
        </w:rPr>
        <w:t>Zotero will act as the source-of-truth literature manager. The project collection should use stable subcollections such as 01_core_methods, 02_china_camera_trap_surveys, 03_historical_distribution, 04_red_list_traits, 05_protected_area_policy and 06_excluded_after_full_text. Better BibTeX can keep a paper-specific references.bib file synchronised so that manuscript writing and analysis notebooks use the same citation keys.</w:t>
      </w:r>
    </w:p>
    <w:p>
      <w:pPr/>
      <w:r>
        <w:rPr>
          <w:b w:val="0"/>
          <w:i w:val="0"/>
        </w:rPr>
        <w:t>AI agents should not search random local folders as the primary literature interface. They should first query Zotero metadata, Zotero attachments and the OneFind index. The intended configuration is: Zotero Desktop running with local API enabled; project Zotero collection indexed by OneFind; a read-only folder library for PDFs, extraction spreadsheets and notes; and an exported references.bib stored inside the project repository. This allows Codex or Claude Code to retrieve papers by title, DOI, author, tag or concept, while preserving provenance.</w:t>
      </w:r>
    </w:p>
    <w:p>
      <w:pPr/>
      <w:r>
        <w:rPr>
          <w:b w:val="0"/>
          <w:i w:val="0"/>
        </w:rPr>
        <w:t>The current local tool status indicates that Zotero local API preferences are enabled but Zotero Desktop is not running, and OneFind is installed but has not yet been configured with Zotero or folder knowledge sources. Therefore the workflow includes an explicit setup gate before production extraction: launch Zotero, confirm local API access, configure OneFind Zotero SQLite and/or project folder source, refresh the index, then run a test query against a known paper such as Xiao et al. (2022).</w:t>
      </w:r>
    </w:p>
    <w:p>
      <w:pPr>
        <w:keepNext/>
        <w:spacing w:after="80"/>
      </w:pPr>
      <w:r>
        <w:rPr>
          <w:b w:val="0"/>
          <w:i/>
        </w:rPr>
        <w:t>Table W2. Literature knowledge-base architecture.</w:t>
      </w:r>
    </w:p>
    <w:tbl>
      <w:tblPr>
        <w:tblStyle w:val="33"/>
        <w:tblW w:type="dxa" w:w="9360"/>
        <w:jc w:val="left"/>
        <w:tblLayout w:type="fixed"/>
        <w:tblLook w:firstColumn="1" w:firstRow="1" w:lastColumn="0" w:lastRow="0" w:noHBand="0" w:noVBand="1" w:val="04A0"/>
        <w:tblInd w:w="120" w:type="dxa"/>
      </w:tblPr>
      <w:tblGrid>
        <w:gridCol w:w="2436"/>
        <w:gridCol w:w="2436"/>
        <w:gridCol w:w="2436"/>
        <w:gridCol w:w="2436"/>
      </w:tblGrid>
      <w:tr>
        <w:trPr>
          <w:cantSplit/>
          <w:tblHeader w:val="true"/>
        </w:trPr>
        <w:tc>
          <w:tcPr>
            <w:tcW w:type="dxa" w:w="1728"/>
            <w:vAlign w:val="center"/>
            <w:tcMar>
              <w:top w:w="80" w:type="dxa"/>
              <w:start w:w="120" w:type="dxa"/>
              <w:bottom w:w="80" w:type="dxa"/>
              <w:end w:w="120" w:type="dxa"/>
            </w:tcMar>
            <w:shd w:fill="F4F6F9"/>
          </w:tcPr>
          <w:p>
            <w:pPr>
              <w:spacing w:after="20" w:line="240" w:lineRule="auto"/>
            </w:pPr>
            <w:r>
              <w:rPr>
                <w:b/>
                <w:sz w:val="17"/>
              </w:rPr>
              <w:t>Layer</w:t>
            </w:r>
          </w:p>
        </w:tc>
        <w:tc>
          <w:tcPr>
            <w:tcW w:type="dxa" w:w="2088"/>
            <w:vAlign w:val="center"/>
            <w:tcMar>
              <w:top w:w="80" w:type="dxa"/>
              <w:start w:w="120" w:type="dxa"/>
              <w:bottom w:w="80" w:type="dxa"/>
              <w:end w:w="120" w:type="dxa"/>
            </w:tcMar>
            <w:shd w:fill="F4F6F9"/>
          </w:tcPr>
          <w:p>
            <w:pPr>
              <w:spacing w:after="20" w:line="240" w:lineRule="auto"/>
            </w:pPr>
            <w:r>
              <w:rPr>
                <w:b/>
                <w:sz w:val="17"/>
              </w:rPr>
              <w:t>Tool or file</w:t>
            </w:r>
          </w:p>
        </w:tc>
        <w:tc>
          <w:tcPr>
            <w:tcW w:type="dxa" w:w="3384"/>
            <w:vAlign w:val="center"/>
            <w:tcMar>
              <w:top w:w="80" w:type="dxa"/>
              <w:start w:w="120" w:type="dxa"/>
              <w:bottom w:w="80" w:type="dxa"/>
              <w:end w:w="120" w:type="dxa"/>
            </w:tcMar>
            <w:shd w:fill="F4F6F9"/>
          </w:tcPr>
          <w:p>
            <w:pPr>
              <w:spacing w:after="20" w:line="240" w:lineRule="auto"/>
            </w:pPr>
            <w:r>
              <w:rPr>
                <w:b/>
                <w:sz w:val="17"/>
              </w:rPr>
              <w:t>Primary role</w:t>
            </w:r>
          </w:p>
        </w:tc>
        <w:tc>
          <w:tcPr>
            <w:tcW w:type="dxa" w:w="2160"/>
            <w:vAlign w:val="center"/>
            <w:tcMar>
              <w:top w:w="80" w:type="dxa"/>
              <w:start w:w="120" w:type="dxa"/>
              <w:bottom w:w="80" w:type="dxa"/>
              <w:end w:w="120" w:type="dxa"/>
            </w:tcMar>
            <w:shd w:fill="F4F6F9"/>
          </w:tcPr>
          <w:p>
            <w:pPr>
              <w:spacing w:after="20" w:line="240" w:lineRule="auto"/>
            </w:pPr>
            <w:r>
              <w:rPr>
                <w:b/>
                <w:sz w:val="17"/>
              </w:rPr>
              <w:t>Acceptance criterion</w:t>
            </w:r>
          </w:p>
        </w:tc>
      </w:tr>
      <w:tr>
        <w:trPr>
          <w:cantSplit/>
        </w:trPr>
        <w:tc>
          <w:tcPr>
            <w:tcW w:type="dxa" w:w="1728"/>
            <w:vAlign w:val="center"/>
            <w:tcMar>
              <w:top w:w="80" w:type="dxa"/>
              <w:start w:w="120" w:type="dxa"/>
              <w:bottom w:w="80" w:type="dxa"/>
              <w:end w:w="120" w:type="dxa"/>
            </w:tcMar>
          </w:tcPr>
          <w:p>
            <w:pPr>
              <w:spacing w:after="20" w:line="240" w:lineRule="auto"/>
            </w:pPr>
            <w:r>
              <w:rPr>
                <w:sz w:val="17"/>
              </w:rPr>
              <w:t>Bibliographic truth</w:t>
            </w:r>
          </w:p>
        </w:tc>
        <w:tc>
          <w:tcPr>
            <w:tcW w:type="dxa" w:w="2088"/>
            <w:vAlign w:val="center"/>
            <w:tcMar>
              <w:top w:w="80" w:type="dxa"/>
              <w:start w:w="120" w:type="dxa"/>
              <w:bottom w:w="80" w:type="dxa"/>
              <w:end w:w="120" w:type="dxa"/>
            </w:tcMar>
          </w:tcPr>
          <w:p>
            <w:pPr>
              <w:spacing w:after="20" w:line="240" w:lineRule="auto"/>
            </w:pPr>
            <w:r>
              <w:rPr>
                <w:sz w:val="17"/>
              </w:rPr>
              <w:t>Zotero project collection</w:t>
            </w:r>
          </w:p>
        </w:tc>
        <w:tc>
          <w:tcPr>
            <w:tcW w:type="dxa" w:w="3384"/>
            <w:vAlign w:val="center"/>
            <w:tcMar>
              <w:top w:w="80" w:type="dxa"/>
              <w:start w:w="120" w:type="dxa"/>
              <w:bottom w:w="80" w:type="dxa"/>
              <w:end w:w="120" w:type="dxa"/>
            </w:tcMar>
          </w:tcPr>
          <w:p>
            <w:pPr>
              <w:spacing w:after="20" w:line="240" w:lineRule="auto"/>
            </w:pPr>
            <w:r>
              <w:rPr>
                <w:sz w:val="17"/>
              </w:rPr>
              <w:t>Metadata, PDFs, notes, tags, duplicate control and citation keys.</w:t>
            </w:r>
          </w:p>
        </w:tc>
        <w:tc>
          <w:tcPr>
            <w:tcW w:type="dxa" w:w="2160"/>
            <w:vAlign w:val="center"/>
            <w:tcMar>
              <w:top w:w="80" w:type="dxa"/>
              <w:start w:w="120" w:type="dxa"/>
              <w:bottom w:w="80" w:type="dxa"/>
              <w:end w:w="120" w:type="dxa"/>
            </w:tcMar>
          </w:tcPr>
          <w:p>
            <w:pPr>
              <w:spacing w:after="20" w:line="240" w:lineRule="auto"/>
            </w:pPr>
            <w:r>
              <w:rPr>
                <w:sz w:val="17"/>
              </w:rPr>
              <w:t>Every included study has item key, title, year, source, DOI/URL and screening tag.</w:t>
            </w:r>
          </w:p>
        </w:tc>
      </w:tr>
      <w:tr>
        <w:trPr>
          <w:cantSplit/>
        </w:trPr>
        <w:tc>
          <w:tcPr>
            <w:tcW w:type="dxa" w:w="1728"/>
            <w:vAlign w:val="center"/>
            <w:tcMar>
              <w:top w:w="80" w:type="dxa"/>
              <w:start w:w="120" w:type="dxa"/>
              <w:bottom w:w="80" w:type="dxa"/>
              <w:end w:w="120" w:type="dxa"/>
            </w:tcMar>
          </w:tcPr>
          <w:p>
            <w:pPr>
              <w:spacing w:after="20" w:line="240" w:lineRule="auto"/>
            </w:pPr>
            <w:r>
              <w:rPr>
                <w:sz w:val="17"/>
              </w:rPr>
              <w:t>Citation bridge</w:t>
            </w:r>
          </w:p>
        </w:tc>
        <w:tc>
          <w:tcPr>
            <w:tcW w:type="dxa" w:w="2088"/>
            <w:vAlign w:val="center"/>
            <w:tcMar>
              <w:top w:w="80" w:type="dxa"/>
              <w:start w:w="120" w:type="dxa"/>
              <w:bottom w:w="80" w:type="dxa"/>
              <w:end w:w="120" w:type="dxa"/>
            </w:tcMar>
          </w:tcPr>
          <w:p>
            <w:pPr>
              <w:spacing w:after="20" w:line="240" w:lineRule="auto"/>
            </w:pPr>
            <w:r>
              <w:rPr>
                <w:sz w:val="17"/>
              </w:rPr>
              <w:t>Better BibTeX references.bib</w:t>
            </w:r>
          </w:p>
        </w:tc>
        <w:tc>
          <w:tcPr>
            <w:tcW w:type="dxa" w:w="3384"/>
            <w:vAlign w:val="center"/>
            <w:tcMar>
              <w:top w:w="80" w:type="dxa"/>
              <w:start w:w="120" w:type="dxa"/>
              <w:bottom w:w="80" w:type="dxa"/>
              <w:end w:w="120" w:type="dxa"/>
            </w:tcMar>
          </w:tcPr>
          <w:p>
            <w:pPr>
              <w:spacing w:after="20" w:line="240" w:lineRule="auto"/>
            </w:pPr>
            <w:r>
              <w:rPr>
                <w:sz w:val="17"/>
              </w:rPr>
              <w:t>Stable citekeys for manuscripts, notebooks and claim audits.</w:t>
            </w:r>
          </w:p>
        </w:tc>
        <w:tc>
          <w:tcPr>
            <w:tcW w:type="dxa" w:w="2160"/>
            <w:vAlign w:val="center"/>
            <w:tcMar>
              <w:top w:w="80" w:type="dxa"/>
              <w:start w:w="120" w:type="dxa"/>
              <w:bottom w:w="80" w:type="dxa"/>
              <w:end w:w="120" w:type="dxa"/>
            </w:tcMar>
          </w:tcPr>
          <w:p>
            <w:pPr>
              <w:spacing w:after="20" w:line="240" w:lineRule="auto"/>
            </w:pPr>
            <w:r>
              <w:rPr>
                <w:sz w:val="17"/>
              </w:rPr>
              <w:t>Auto-export or manual export matches Zotero collection count.</w:t>
            </w:r>
          </w:p>
        </w:tc>
      </w:tr>
      <w:tr>
        <w:trPr>
          <w:cantSplit/>
        </w:trPr>
        <w:tc>
          <w:tcPr>
            <w:tcW w:type="dxa" w:w="1728"/>
            <w:vAlign w:val="center"/>
            <w:tcMar>
              <w:top w:w="80" w:type="dxa"/>
              <w:start w:w="120" w:type="dxa"/>
              <w:bottom w:w="80" w:type="dxa"/>
              <w:end w:w="120" w:type="dxa"/>
            </w:tcMar>
          </w:tcPr>
          <w:p>
            <w:pPr>
              <w:spacing w:after="20" w:line="240" w:lineRule="auto"/>
            </w:pPr>
            <w:r>
              <w:rPr>
                <w:sz w:val="17"/>
              </w:rPr>
              <w:t>Local retrieval</w:t>
            </w:r>
          </w:p>
        </w:tc>
        <w:tc>
          <w:tcPr>
            <w:tcW w:type="dxa" w:w="2088"/>
            <w:vAlign w:val="center"/>
            <w:tcMar>
              <w:top w:w="80" w:type="dxa"/>
              <w:start w:w="120" w:type="dxa"/>
              <w:bottom w:w="80" w:type="dxa"/>
              <w:end w:w="120" w:type="dxa"/>
            </w:tcMar>
          </w:tcPr>
          <w:p>
            <w:pPr>
              <w:spacing w:after="20" w:line="240" w:lineRule="auto"/>
            </w:pPr>
            <w:r>
              <w:rPr>
                <w:sz w:val="17"/>
              </w:rPr>
              <w:t>Zotero local API</w:t>
            </w:r>
          </w:p>
        </w:tc>
        <w:tc>
          <w:tcPr>
            <w:tcW w:type="dxa" w:w="3384"/>
            <w:vAlign w:val="center"/>
            <w:tcMar>
              <w:top w:w="80" w:type="dxa"/>
              <w:start w:w="120" w:type="dxa"/>
              <w:bottom w:w="80" w:type="dxa"/>
              <w:end w:w="120" w:type="dxa"/>
            </w:tcMar>
          </w:tcPr>
          <w:p>
            <w:pPr>
              <w:spacing w:after="20" w:line="240" w:lineRule="auto"/>
            </w:pPr>
            <w:r>
              <w:rPr>
                <w:sz w:val="17"/>
              </w:rPr>
              <w:t>Read metadata, collections, tags, attachments and citations from the local database.</w:t>
            </w:r>
          </w:p>
        </w:tc>
        <w:tc>
          <w:tcPr>
            <w:tcW w:type="dxa" w:w="2160"/>
            <w:vAlign w:val="center"/>
            <w:tcMar>
              <w:top w:w="80" w:type="dxa"/>
              <w:start w:w="120" w:type="dxa"/>
              <w:bottom w:w="80" w:type="dxa"/>
              <w:end w:w="120" w:type="dxa"/>
            </w:tcMar>
          </w:tcPr>
          <w:p>
            <w:pPr>
              <w:spacing w:after="20" w:line="240" w:lineRule="auto"/>
            </w:pPr>
            <w:r>
              <w:rPr>
                <w:sz w:val="17"/>
              </w:rPr>
              <w:t>API responds on localhost and returns known project items.</w:t>
            </w:r>
          </w:p>
        </w:tc>
      </w:tr>
      <w:tr>
        <w:trPr>
          <w:cantSplit/>
        </w:trPr>
        <w:tc>
          <w:tcPr>
            <w:tcW w:type="dxa" w:w="1728"/>
            <w:vAlign w:val="center"/>
            <w:tcMar>
              <w:top w:w="80" w:type="dxa"/>
              <w:start w:w="120" w:type="dxa"/>
              <w:bottom w:w="80" w:type="dxa"/>
              <w:end w:w="120" w:type="dxa"/>
            </w:tcMar>
          </w:tcPr>
          <w:p>
            <w:pPr>
              <w:spacing w:after="20" w:line="240" w:lineRule="auto"/>
            </w:pPr>
            <w:r>
              <w:rPr>
                <w:sz w:val="17"/>
              </w:rPr>
              <w:t>Knowledge search</w:t>
            </w:r>
          </w:p>
        </w:tc>
        <w:tc>
          <w:tcPr>
            <w:tcW w:type="dxa" w:w="2088"/>
            <w:vAlign w:val="center"/>
            <w:tcMar>
              <w:top w:w="80" w:type="dxa"/>
              <w:start w:w="120" w:type="dxa"/>
              <w:bottom w:w="80" w:type="dxa"/>
              <w:end w:w="120" w:type="dxa"/>
            </w:tcMar>
          </w:tcPr>
          <w:p>
            <w:pPr>
              <w:spacing w:after="20" w:line="240" w:lineRule="auto"/>
            </w:pPr>
            <w:r>
              <w:rPr>
                <w:sz w:val="17"/>
              </w:rPr>
              <w:t>OneFind index</w:t>
            </w:r>
          </w:p>
        </w:tc>
        <w:tc>
          <w:tcPr>
            <w:tcW w:type="dxa" w:w="3384"/>
            <w:vAlign w:val="center"/>
            <w:tcMar>
              <w:top w:w="80" w:type="dxa"/>
              <w:start w:w="120" w:type="dxa"/>
              <w:bottom w:w="80" w:type="dxa"/>
              <w:end w:w="120" w:type="dxa"/>
            </w:tcMar>
          </w:tcPr>
          <w:p>
            <w:pPr>
              <w:spacing w:after="20" w:line="240" w:lineRule="auto"/>
            </w:pPr>
            <w:r>
              <w:rPr>
                <w:sz w:val="17"/>
              </w:rPr>
              <w:t>Retrieve evidence blocks from Zotero, PDFs, notes and project folders.</w:t>
            </w:r>
          </w:p>
        </w:tc>
        <w:tc>
          <w:tcPr>
            <w:tcW w:type="dxa" w:w="2160"/>
            <w:vAlign w:val="center"/>
            <w:tcMar>
              <w:top w:w="80" w:type="dxa"/>
              <w:start w:w="120" w:type="dxa"/>
              <w:bottom w:w="80" w:type="dxa"/>
              <w:end w:w="120" w:type="dxa"/>
            </w:tcMar>
          </w:tcPr>
          <w:p>
            <w:pPr>
              <w:spacing w:after="20" w:line="240" w:lineRule="auto"/>
            </w:pPr>
            <w:r>
              <w:rPr>
                <w:sz w:val="17"/>
              </w:rPr>
              <w:t>Known-paper test returns title, metadata and relevant text chunks.</w:t>
            </w:r>
          </w:p>
        </w:tc>
      </w:tr>
      <w:tr>
        <w:trPr>
          <w:cantSplit/>
        </w:trPr>
        <w:tc>
          <w:tcPr>
            <w:tcW w:type="dxa" w:w="1728"/>
            <w:vAlign w:val="center"/>
            <w:tcMar>
              <w:top w:w="80" w:type="dxa"/>
              <w:start w:w="120" w:type="dxa"/>
              <w:bottom w:w="80" w:type="dxa"/>
              <w:end w:w="120" w:type="dxa"/>
            </w:tcMar>
          </w:tcPr>
          <w:p>
            <w:pPr>
              <w:spacing w:after="20" w:line="240" w:lineRule="auto"/>
            </w:pPr>
            <w:r>
              <w:rPr>
                <w:sz w:val="17"/>
              </w:rPr>
              <w:t>Project evidence log</w:t>
            </w:r>
          </w:p>
        </w:tc>
        <w:tc>
          <w:tcPr>
            <w:tcW w:type="dxa" w:w="2088"/>
            <w:vAlign w:val="center"/>
            <w:tcMar>
              <w:top w:w="80" w:type="dxa"/>
              <w:start w:w="120" w:type="dxa"/>
              <w:bottom w:w="80" w:type="dxa"/>
              <w:end w:w="120" w:type="dxa"/>
            </w:tcMar>
          </w:tcPr>
          <w:p>
            <w:pPr>
              <w:spacing w:after="20" w:line="240" w:lineRule="auto"/>
            </w:pPr>
            <w:r>
              <w:rPr>
                <w:sz w:val="17"/>
              </w:rPr>
              <w:t>literature_registry.csv</w:t>
            </w:r>
          </w:p>
        </w:tc>
        <w:tc>
          <w:tcPr>
            <w:tcW w:type="dxa" w:w="3384"/>
            <w:vAlign w:val="center"/>
            <w:tcMar>
              <w:top w:w="80" w:type="dxa"/>
              <w:start w:w="120" w:type="dxa"/>
              <w:bottom w:w="80" w:type="dxa"/>
              <w:end w:w="120" w:type="dxa"/>
            </w:tcMar>
          </w:tcPr>
          <w:p>
            <w:pPr>
              <w:spacing w:after="20" w:line="240" w:lineRule="auto"/>
            </w:pPr>
            <w:r>
              <w:rPr>
                <w:sz w:val="17"/>
              </w:rPr>
              <w:t>Join Zotero keys to extraction status, file checksums and data-table IDs.</w:t>
            </w:r>
          </w:p>
        </w:tc>
        <w:tc>
          <w:tcPr>
            <w:tcW w:type="dxa" w:w="2160"/>
            <w:vAlign w:val="center"/>
            <w:tcMar>
              <w:top w:w="80" w:type="dxa"/>
              <w:start w:w="120" w:type="dxa"/>
              <w:bottom w:w="80" w:type="dxa"/>
              <w:end w:w="120" w:type="dxa"/>
            </w:tcMar>
          </w:tcPr>
          <w:p>
            <w:pPr>
              <w:spacing w:after="20" w:line="240" w:lineRule="auto"/>
            </w:pPr>
            <w:r>
              <w:rPr>
                <w:sz w:val="17"/>
              </w:rPr>
              <w:t>No extracted row lacks zotero_item_key and source_id.</w:t>
            </w:r>
          </w:p>
        </w:tc>
      </w:tr>
    </w:tbl>
    <w:p>
      <w:pPr>
        <w:pStyle w:val="4"/>
        <w:keepNext/>
      </w:pPr>
      <w:r>
        <w:rPr>
          <w:b w:val="0"/>
          <w:i w:val="0"/>
        </w:rPr>
        <w:t>7.3 AI-Assisted PDF Reading and Structured Data Extraction</w:t>
      </w:r>
    </w:p>
    <w:p>
      <w:pPr/>
      <w:r>
        <w:rPr>
          <w:b w:val="0"/>
          <w:i w:val="0"/>
        </w:rPr>
        <w:t>AI tools will be used as extraction assistants, not as unsupervised data authorities. Codex or Claude Code can read PDFs, tables, captions and supplementary files; propose extraction rows; identify variables available for TW-CVII; and report uncertainty, missing fields and pages requiring human review. The accepted unit of extraction is a structured row with source provenance, not a free-form summary.</w:t>
      </w:r>
    </w:p>
    <w:p>
      <w:pPr/>
      <w:r>
        <w:rPr>
          <w:b w:val="0"/>
          <w:i w:val="0"/>
        </w:rPr>
        <w:t>Each paper will move through four extraction states: queued, machine-extracted, human-verified and database-ingested. Machine extraction must capture page/table/figure references, exact variable definitions, assumptions and confidence flags. Human verification is mandatory for species lists, coordinates, camera-days, independent-detection thresholds, Red List categories, density estimates and any absence or non-detection inference.</w:t>
      </w:r>
    </w:p>
    <w:p>
      <w:pPr/>
      <w:r>
        <w:rPr>
          <w:b w:val="0"/>
          <w:i w:val="0"/>
        </w:rPr>
        <w:t>The extraction prompt will be standardised. It should ask the AI agent to identify: study objective, geographic scope, survey period, camera-station design, number of cameras, deployment duration, camera-days, taxonomic groups, species detected, independent-event definition, RAI or occupancy metrics, human/livestock/dog detections, environmental covariates, protected-area context, limitations and supplementary data. The agent must also state which fields cannot be extracted reliably.</w:t>
      </w:r>
    </w:p>
    <w:p>
      <w:pPr>
        <w:keepNext/>
        <w:spacing w:after="80"/>
      </w:pPr>
      <w:r>
        <w:rPr>
          <w:b w:val="0"/>
          <w:i/>
        </w:rPr>
        <w:t>Table W3. Minimum extraction schema for literature-derived camera-trap evidence.</w:t>
      </w:r>
    </w:p>
    <w:tbl>
      <w:tblPr>
        <w:tblStyle w:val="33"/>
        <w:tblW w:type="dxa" w:w="9360"/>
        <w:jc w:val="left"/>
        <w:tblLayout w:type="fixed"/>
        <w:tblLook w:firstColumn="1" w:firstRow="1" w:lastColumn="0" w:lastRow="0" w:noHBand="0" w:noVBand="1" w:val="04A0"/>
        <w:tblInd w:w="120" w:type="dxa"/>
      </w:tblPr>
      <w:tblGrid>
        <w:gridCol w:w="2436"/>
        <w:gridCol w:w="2436"/>
        <w:gridCol w:w="2436"/>
        <w:gridCol w:w="2436"/>
      </w:tblGrid>
      <w:tr>
        <w:trPr>
          <w:cantSplit/>
          <w:tblHeader w:val="true"/>
        </w:trPr>
        <w:tc>
          <w:tcPr>
            <w:tcW w:type="dxa" w:w="1655"/>
            <w:vAlign w:val="center"/>
            <w:tcMar>
              <w:top w:w="80" w:type="dxa"/>
              <w:start w:w="120" w:type="dxa"/>
              <w:bottom w:w="80" w:type="dxa"/>
              <w:end w:w="120" w:type="dxa"/>
            </w:tcMar>
            <w:shd w:fill="F4F6F9"/>
          </w:tcPr>
          <w:p>
            <w:pPr>
              <w:spacing w:after="20" w:line="240" w:lineRule="auto"/>
            </w:pPr>
            <w:r>
              <w:rPr>
                <w:b/>
                <w:sz w:val="17"/>
              </w:rPr>
              <w:t>Table</w:t>
            </w:r>
          </w:p>
        </w:tc>
        <w:tc>
          <w:tcPr>
            <w:tcW w:type="dxa" w:w="3240"/>
            <w:vAlign w:val="center"/>
            <w:tcMar>
              <w:top w:w="80" w:type="dxa"/>
              <w:start w:w="120" w:type="dxa"/>
              <w:bottom w:w="80" w:type="dxa"/>
              <w:end w:w="120" w:type="dxa"/>
            </w:tcMar>
            <w:shd w:fill="F4F6F9"/>
          </w:tcPr>
          <w:p>
            <w:pPr>
              <w:spacing w:after="20" w:line="240" w:lineRule="auto"/>
            </w:pPr>
            <w:r>
              <w:rPr>
                <w:b/>
                <w:sz w:val="17"/>
              </w:rPr>
              <w:t>Required fields</w:t>
            </w:r>
          </w:p>
        </w:tc>
        <w:tc>
          <w:tcPr>
            <w:tcW w:type="dxa" w:w="2304"/>
            <w:vAlign w:val="center"/>
            <w:tcMar>
              <w:top w:w="80" w:type="dxa"/>
              <w:start w:w="120" w:type="dxa"/>
              <w:bottom w:w="80" w:type="dxa"/>
              <w:end w:w="120" w:type="dxa"/>
            </w:tcMar>
            <w:shd w:fill="F4F6F9"/>
          </w:tcPr>
          <w:p>
            <w:pPr>
              <w:spacing w:after="20" w:line="240" w:lineRule="auto"/>
            </w:pPr>
            <w:r>
              <w:rPr>
                <w:b/>
                <w:sz w:val="17"/>
              </w:rPr>
              <w:t>Normalisation rule</w:t>
            </w:r>
          </w:p>
        </w:tc>
        <w:tc>
          <w:tcPr>
            <w:tcW w:type="dxa" w:w="2160"/>
            <w:vAlign w:val="center"/>
            <w:tcMar>
              <w:top w:w="80" w:type="dxa"/>
              <w:start w:w="120" w:type="dxa"/>
              <w:bottom w:w="80" w:type="dxa"/>
              <w:end w:w="120" w:type="dxa"/>
            </w:tcMar>
            <w:shd w:fill="F4F6F9"/>
          </w:tcPr>
          <w:p>
            <w:pPr>
              <w:spacing w:after="20" w:line="240" w:lineRule="auto"/>
            </w:pPr>
            <w:r>
              <w:rPr>
                <w:b/>
                <w:sz w:val="17"/>
              </w:rPr>
              <w:t>Human verification focus</w:t>
            </w:r>
          </w:p>
        </w:tc>
      </w:tr>
      <w:tr>
        <w:trPr>
          <w:cantSplit/>
        </w:trPr>
        <w:tc>
          <w:tcPr>
            <w:tcW w:type="dxa" w:w="1655"/>
            <w:vAlign w:val="center"/>
            <w:tcMar>
              <w:top w:w="80" w:type="dxa"/>
              <w:start w:w="120" w:type="dxa"/>
              <w:bottom w:w="80" w:type="dxa"/>
              <w:end w:w="120" w:type="dxa"/>
            </w:tcMar>
          </w:tcPr>
          <w:p>
            <w:pPr>
              <w:spacing w:after="20" w:line="240" w:lineRule="auto"/>
            </w:pPr>
            <w:r>
              <w:rPr>
                <w:sz w:val="17"/>
              </w:rPr>
              <w:t>source</w:t>
            </w:r>
          </w:p>
        </w:tc>
        <w:tc>
          <w:tcPr>
            <w:tcW w:type="dxa" w:w="3240"/>
            <w:vAlign w:val="center"/>
            <w:tcMar>
              <w:top w:w="80" w:type="dxa"/>
              <w:start w:w="120" w:type="dxa"/>
              <w:bottom w:w="80" w:type="dxa"/>
              <w:end w:w="120" w:type="dxa"/>
            </w:tcMar>
          </w:tcPr>
          <w:p>
            <w:pPr>
              <w:spacing w:after="20" w:line="240" w:lineRule="auto"/>
            </w:pPr>
            <w:r>
              <w:rPr>
                <w:sz w:val="17"/>
              </w:rPr>
              <w:t>source_id, zotero_item_key, citation, DOI/URL, language, publication type, access date, file checksum.</w:t>
            </w:r>
          </w:p>
        </w:tc>
        <w:tc>
          <w:tcPr>
            <w:tcW w:type="dxa" w:w="2304"/>
            <w:vAlign w:val="center"/>
            <w:tcMar>
              <w:top w:w="80" w:type="dxa"/>
              <w:start w:w="120" w:type="dxa"/>
              <w:bottom w:w="80" w:type="dxa"/>
              <w:end w:w="120" w:type="dxa"/>
            </w:tcMar>
          </w:tcPr>
          <w:p>
            <w:pPr>
              <w:spacing w:after="20" w:line="240" w:lineRule="auto"/>
            </w:pPr>
            <w:r>
              <w:rPr>
                <w:sz w:val="17"/>
              </w:rPr>
              <w:t>One source_id per publication or report.</w:t>
            </w:r>
          </w:p>
        </w:tc>
        <w:tc>
          <w:tcPr>
            <w:tcW w:type="dxa" w:w="2160"/>
            <w:vAlign w:val="center"/>
            <w:tcMar>
              <w:top w:w="80" w:type="dxa"/>
              <w:start w:w="120" w:type="dxa"/>
              <w:bottom w:w="80" w:type="dxa"/>
              <w:end w:w="120" w:type="dxa"/>
            </w:tcMar>
          </w:tcPr>
          <w:p>
            <w:pPr>
              <w:spacing w:after="20" w:line="240" w:lineRule="auto"/>
            </w:pPr>
            <w:r>
              <w:rPr>
                <w:sz w:val="17"/>
              </w:rPr>
              <w:t>Metadata, duplicates, translation of Chinese titles.</w:t>
            </w:r>
          </w:p>
        </w:tc>
      </w:tr>
      <w:tr>
        <w:trPr>
          <w:cantSplit/>
        </w:trPr>
        <w:tc>
          <w:tcPr>
            <w:tcW w:type="dxa" w:w="1655"/>
            <w:vAlign w:val="center"/>
            <w:tcMar>
              <w:top w:w="80" w:type="dxa"/>
              <w:start w:w="120" w:type="dxa"/>
              <w:bottom w:w="80" w:type="dxa"/>
              <w:end w:w="120" w:type="dxa"/>
            </w:tcMar>
          </w:tcPr>
          <w:p>
            <w:pPr>
              <w:spacing w:after="20" w:line="240" w:lineRule="auto"/>
            </w:pPr>
            <w:r>
              <w:rPr>
                <w:sz w:val="17"/>
              </w:rPr>
              <w:t>study_site</w:t>
            </w:r>
          </w:p>
        </w:tc>
        <w:tc>
          <w:tcPr>
            <w:tcW w:type="dxa" w:w="3240"/>
            <w:vAlign w:val="center"/>
            <w:tcMar>
              <w:top w:w="80" w:type="dxa"/>
              <w:start w:w="120" w:type="dxa"/>
              <w:bottom w:w="80" w:type="dxa"/>
              <w:end w:w="120" w:type="dxa"/>
            </w:tcMar>
          </w:tcPr>
          <w:p>
            <w:pPr>
              <w:spacing w:after="20" w:line="240" w:lineRule="auto"/>
            </w:pPr>
            <w:r>
              <w:rPr>
                <w:sz w:val="17"/>
              </w:rPr>
              <w:t>site_id, province, county, protected-area name, coordinates, elevation, habitat, protection category.</w:t>
            </w:r>
          </w:p>
        </w:tc>
        <w:tc>
          <w:tcPr>
            <w:tcW w:type="dxa" w:w="2304"/>
            <w:vAlign w:val="center"/>
            <w:tcMar>
              <w:top w:w="80" w:type="dxa"/>
              <w:start w:w="120" w:type="dxa"/>
              <w:bottom w:w="80" w:type="dxa"/>
              <w:end w:w="120" w:type="dxa"/>
            </w:tcMar>
          </w:tcPr>
          <w:p>
            <w:pPr>
              <w:spacing w:after="20" w:line="240" w:lineRule="auto"/>
            </w:pPr>
            <w:r>
              <w:rPr>
                <w:sz w:val="17"/>
              </w:rPr>
              <w:t>Coordinates converted to WGS84; spatial uncertainty retained.</w:t>
            </w:r>
          </w:p>
        </w:tc>
        <w:tc>
          <w:tcPr>
            <w:tcW w:type="dxa" w:w="2160"/>
            <w:vAlign w:val="center"/>
            <w:tcMar>
              <w:top w:w="80" w:type="dxa"/>
              <w:start w:w="120" w:type="dxa"/>
              <w:bottom w:w="80" w:type="dxa"/>
              <w:end w:w="120" w:type="dxa"/>
            </w:tcMar>
          </w:tcPr>
          <w:p>
            <w:pPr>
              <w:spacing w:after="20" w:line="240" w:lineRule="auto"/>
            </w:pPr>
            <w:r>
              <w:rPr>
                <w:sz w:val="17"/>
              </w:rPr>
              <w:t>Map consistency, protected-area boundaries.</w:t>
            </w:r>
          </w:p>
        </w:tc>
      </w:tr>
      <w:tr>
        <w:trPr>
          <w:cantSplit/>
        </w:trPr>
        <w:tc>
          <w:tcPr>
            <w:tcW w:type="dxa" w:w="1655"/>
            <w:vAlign w:val="center"/>
            <w:tcMar>
              <w:top w:w="80" w:type="dxa"/>
              <w:start w:w="120" w:type="dxa"/>
              <w:bottom w:w="80" w:type="dxa"/>
              <w:end w:w="120" w:type="dxa"/>
            </w:tcMar>
          </w:tcPr>
          <w:p>
            <w:pPr>
              <w:spacing w:after="20" w:line="240" w:lineRule="auto"/>
            </w:pPr>
            <w:r>
              <w:rPr>
                <w:sz w:val="17"/>
              </w:rPr>
              <w:t>deployment</w:t>
            </w:r>
          </w:p>
        </w:tc>
        <w:tc>
          <w:tcPr>
            <w:tcW w:type="dxa" w:w="3240"/>
            <w:vAlign w:val="center"/>
            <w:tcMar>
              <w:top w:w="80" w:type="dxa"/>
              <w:start w:w="120" w:type="dxa"/>
              <w:bottom w:w="80" w:type="dxa"/>
              <w:end w:w="120" w:type="dxa"/>
            </w:tcMar>
          </w:tcPr>
          <w:p>
            <w:pPr>
              <w:spacing w:after="20" w:line="240" w:lineRule="auto"/>
            </w:pPr>
            <w:r>
              <w:rPr>
                <w:sz w:val="17"/>
              </w:rPr>
              <w:t>station_id, deployment_id, start/end date, active days, camera-days, camera model, placement, bait/lure, malfunction days.</w:t>
            </w:r>
          </w:p>
        </w:tc>
        <w:tc>
          <w:tcPr>
            <w:tcW w:type="dxa" w:w="2304"/>
            <w:vAlign w:val="center"/>
            <w:tcMar>
              <w:top w:w="80" w:type="dxa"/>
              <w:start w:w="120" w:type="dxa"/>
              <w:bottom w:w="80" w:type="dxa"/>
              <w:end w:w="120" w:type="dxa"/>
            </w:tcMar>
          </w:tcPr>
          <w:p>
            <w:pPr>
              <w:spacing w:after="20" w:line="240" w:lineRule="auto"/>
            </w:pPr>
            <w:r>
              <w:rPr>
                <w:sz w:val="17"/>
              </w:rPr>
              <w:t>Dates ISO 8601; effort separated from detections.</w:t>
            </w:r>
          </w:p>
        </w:tc>
        <w:tc>
          <w:tcPr>
            <w:tcW w:type="dxa" w:w="2160"/>
            <w:vAlign w:val="center"/>
            <w:tcMar>
              <w:top w:w="80" w:type="dxa"/>
              <w:start w:w="120" w:type="dxa"/>
              <w:bottom w:w="80" w:type="dxa"/>
              <w:end w:w="120" w:type="dxa"/>
            </w:tcMar>
          </w:tcPr>
          <w:p>
            <w:pPr>
              <w:spacing w:after="20" w:line="240" w:lineRule="auto"/>
            </w:pPr>
            <w:r>
              <w:rPr>
                <w:sz w:val="17"/>
              </w:rPr>
              <w:t>Camera-days, repeated occasions, malfunction handling.</w:t>
            </w:r>
          </w:p>
        </w:tc>
      </w:tr>
      <w:tr>
        <w:trPr>
          <w:cantSplit/>
        </w:trPr>
        <w:tc>
          <w:tcPr>
            <w:tcW w:type="dxa" w:w="1655"/>
            <w:vAlign w:val="center"/>
            <w:tcMar>
              <w:top w:w="80" w:type="dxa"/>
              <w:start w:w="120" w:type="dxa"/>
              <w:bottom w:w="80" w:type="dxa"/>
              <w:end w:w="120" w:type="dxa"/>
            </w:tcMar>
          </w:tcPr>
          <w:p>
            <w:pPr>
              <w:spacing w:after="20" w:line="240" w:lineRule="auto"/>
            </w:pPr>
            <w:r>
              <w:rPr>
                <w:sz w:val="17"/>
              </w:rPr>
              <w:t>detection_event</w:t>
            </w:r>
          </w:p>
        </w:tc>
        <w:tc>
          <w:tcPr>
            <w:tcW w:type="dxa" w:w="3240"/>
            <w:vAlign w:val="center"/>
            <w:tcMar>
              <w:top w:w="80" w:type="dxa"/>
              <w:start w:w="120" w:type="dxa"/>
              <w:bottom w:w="80" w:type="dxa"/>
              <w:end w:w="120" w:type="dxa"/>
            </w:tcMar>
          </w:tcPr>
          <w:p>
            <w:pPr>
              <w:spacing w:after="20" w:line="240" w:lineRule="auto"/>
            </w:pPr>
            <w:r>
              <w:rPr>
                <w:sz w:val="17"/>
              </w:rPr>
              <w:t>species_id, scientific name, Chinese name, event time, independent detections, group size, sex/age, behaviour, human/livestock/dog flag.</w:t>
            </w:r>
          </w:p>
        </w:tc>
        <w:tc>
          <w:tcPr>
            <w:tcW w:type="dxa" w:w="2304"/>
            <w:vAlign w:val="center"/>
            <w:tcMar>
              <w:top w:w="80" w:type="dxa"/>
              <w:start w:w="120" w:type="dxa"/>
              <w:bottom w:w="80" w:type="dxa"/>
              <w:end w:w="120" w:type="dxa"/>
            </w:tcMar>
          </w:tcPr>
          <w:p>
            <w:pPr>
              <w:spacing w:after="20" w:line="240" w:lineRule="auto"/>
            </w:pPr>
            <w:r>
              <w:rPr>
                <w:sz w:val="17"/>
              </w:rPr>
              <w:t>Taxonomy mapped to accepted backbone; independent-event threshold recorded.</w:t>
            </w:r>
          </w:p>
        </w:tc>
        <w:tc>
          <w:tcPr>
            <w:tcW w:type="dxa" w:w="2160"/>
            <w:vAlign w:val="center"/>
            <w:tcMar>
              <w:top w:w="80" w:type="dxa"/>
              <w:start w:w="120" w:type="dxa"/>
              <w:bottom w:w="80" w:type="dxa"/>
              <w:end w:w="120" w:type="dxa"/>
            </w:tcMar>
          </w:tcPr>
          <w:p>
            <w:pPr>
              <w:spacing w:after="20" w:line="240" w:lineRule="auto"/>
            </w:pPr>
            <w:r>
              <w:rPr>
                <w:sz w:val="17"/>
              </w:rPr>
              <w:t>Species identity, ambiguous taxa, event independence.</w:t>
            </w:r>
          </w:p>
        </w:tc>
      </w:tr>
      <w:tr>
        <w:trPr>
          <w:cantSplit/>
        </w:trPr>
        <w:tc>
          <w:tcPr>
            <w:tcW w:type="dxa" w:w="1655"/>
            <w:vAlign w:val="center"/>
            <w:tcMar>
              <w:top w:w="80" w:type="dxa"/>
              <w:start w:w="120" w:type="dxa"/>
              <w:bottom w:w="80" w:type="dxa"/>
              <w:end w:w="120" w:type="dxa"/>
            </w:tcMar>
          </w:tcPr>
          <w:p>
            <w:pPr>
              <w:spacing w:after="20" w:line="240" w:lineRule="auto"/>
            </w:pPr>
            <w:r>
              <w:rPr>
                <w:sz w:val="17"/>
              </w:rPr>
              <w:t>species_site_summary</w:t>
            </w:r>
          </w:p>
        </w:tc>
        <w:tc>
          <w:tcPr>
            <w:tcW w:type="dxa" w:w="3240"/>
            <w:vAlign w:val="center"/>
            <w:tcMar>
              <w:top w:w="80" w:type="dxa"/>
              <w:start w:w="120" w:type="dxa"/>
              <w:bottom w:w="80" w:type="dxa"/>
              <w:end w:w="120" w:type="dxa"/>
            </w:tcMar>
          </w:tcPr>
          <w:p>
            <w:pPr>
              <w:spacing w:after="20" w:line="240" w:lineRule="auto"/>
            </w:pPr>
            <w:r>
              <w:rPr>
                <w:sz w:val="17"/>
              </w:rPr>
              <w:t>species_id, site_id, historical expectation, current detection, RAI, occupancy/density estimate, uncertainty, evidence state.</w:t>
            </w:r>
          </w:p>
        </w:tc>
        <w:tc>
          <w:tcPr>
            <w:tcW w:type="dxa" w:w="2304"/>
            <w:vAlign w:val="center"/>
            <w:tcMar>
              <w:top w:w="80" w:type="dxa"/>
              <w:start w:w="120" w:type="dxa"/>
              <w:bottom w:w="80" w:type="dxa"/>
              <w:end w:w="120" w:type="dxa"/>
            </w:tcMar>
          </w:tcPr>
          <w:p>
            <w:pPr>
              <w:spacing w:after="20" w:line="240" w:lineRule="auto"/>
            </w:pPr>
            <w:r>
              <w:rPr>
                <w:sz w:val="17"/>
              </w:rPr>
              <w:t>Derived from raw tables; never typed only from narrative claims.</w:t>
            </w:r>
          </w:p>
        </w:tc>
        <w:tc>
          <w:tcPr>
            <w:tcW w:type="dxa" w:w="2160"/>
            <w:vAlign w:val="center"/>
            <w:tcMar>
              <w:top w:w="80" w:type="dxa"/>
              <w:start w:w="120" w:type="dxa"/>
              <w:bottom w:w="80" w:type="dxa"/>
              <w:end w:w="120" w:type="dxa"/>
            </w:tcMar>
          </w:tcPr>
          <w:p>
            <w:pPr>
              <w:spacing w:after="20" w:line="240" w:lineRule="auto"/>
            </w:pPr>
            <w:r>
              <w:rPr>
                <w:sz w:val="17"/>
              </w:rPr>
              <w:t>Silent range versus monitoring gap decisions.</w:t>
            </w:r>
          </w:p>
        </w:tc>
      </w:tr>
      <w:tr>
        <w:trPr>
          <w:cantSplit/>
        </w:trPr>
        <w:tc>
          <w:tcPr>
            <w:tcW w:type="dxa" w:w="1655"/>
            <w:vAlign w:val="center"/>
            <w:tcMar>
              <w:top w:w="80" w:type="dxa"/>
              <w:start w:w="120" w:type="dxa"/>
              <w:bottom w:w="80" w:type="dxa"/>
              <w:end w:w="120" w:type="dxa"/>
            </w:tcMar>
          </w:tcPr>
          <w:p>
            <w:pPr>
              <w:spacing w:after="20" w:line="240" w:lineRule="auto"/>
            </w:pPr>
            <w:r>
              <w:rPr>
                <w:sz w:val="17"/>
              </w:rPr>
              <w:t>extraction_audit</w:t>
            </w:r>
          </w:p>
        </w:tc>
        <w:tc>
          <w:tcPr>
            <w:tcW w:type="dxa" w:w="3240"/>
            <w:vAlign w:val="center"/>
            <w:tcMar>
              <w:top w:w="80" w:type="dxa"/>
              <w:start w:w="120" w:type="dxa"/>
              <w:bottom w:w="80" w:type="dxa"/>
              <w:end w:w="120" w:type="dxa"/>
            </w:tcMar>
          </w:tcPr>
          <w:p>
            <w:pPr>
              <w:spacing w:after="20" w:line="240" w:lineRule="auto"/>
            </w:pPr>
            <w:r>
              <w:rPr>
                <w:sz w:val="17"/>
              </w:rPr>
              <w:t>extractor, model/tool, date, source pages, confidence, unresolved fields, verifier, revision history.</w:t>
            </w:r>
          </w:p>
        </w:tc>
        <w:tc>
          <w:tcPr>
            <w:tcW w:type="dxa" w:w="2304"/>
            <w:vAlign w:val="center"/>
            <w:tcMar>
              <w:top w:w="80" w:type="dxa"/>
              <w:start w:w="120" w:type="dxa"/>
              <w:bottom w:w="80" w:type="dxa"/>
              <w:end w:w="120" w:type="dxa"/>
            </w:tcMar>
          </w:tcPr>
          <w:p>
            <w:pPr>
              <w:spacing w:after="20" w:line="240" w:lineRule="auto"/>
            </w:pPr>
            <w:r>
              <w:rPr>
                <w:sz w:val="17"/>
              </w:rPr>
              <w:t>One audit row per extraction batch.</w:t>
            </w:r>
          </w:p>
        </w:tc>
        <w:tc>
          <w:tcPr>
            <w:tcW w:type="dxa" w:w="2160"/>
            <w:vAlign w:val="center"/>
            <w:tcMar>
              <w:top w:w="80" w:type="dxa"/>
              <w:start w:w="120" w:type="dxa"/>
              <w:bottom w:w="80" w:type="dxa"/>
              <w:end w:w="120" w:type="dxa"/>
            </w:tcMar>
          </w:tcPr>
          <w:p>
            <w:pPr>
              <w:spacing w:after="20" w:line="240" w:lineRule="auto"/>
            </w:pPr>
            <w:r>
              <w:rPr>
                <w:sz w:val="17"/>
              </w:rPr>
              <w:t>All low-confidence or high-impact fields resolved.</w:t>
            </w:r>
          </w:p>
        </w:tc>
      </w:tr>
    </w:tbl>
    <w:p>
      <w:pPr>
        <w:pStyle w:val="4"/>
        <w:keepNext/>
      </w:pPr>
      <w:r>
        <w:rPr>
          <w:b w:val="0"/>
          <w:i w:val="0"/>
        </w:rPr>
        <w:t>7.4 Cleaning, Standardisation and Versioned Database Construction</w:t>
      </w:r>
    </w:p>
    <w:p>
      <w:pPr/>
      <w:r>
        <w:rPr>
          <w:b w:val="0"/>
          <w:i w:val="0"/>
        </w:rPr>
        <w:t>Data cleaning will be implemented as scripts rather than manual spreadsheet edits. Raw exports and AI extraction tables remain immutable. Clean tables are generated by reproducible R or Python scripts that standardise taxonomy, Chinese and scientific names, coordinate systems, dates, spatial units, effort denominators, independent-event thresholds, Red List categories and protected-area identifiers. Every transformation is logged so that a value in an analysis figure can be traced back to source, page and extracted row.</w:t>
      </w:r>
    </w:p>
    <w:p>
      <w:pPr/>
      <w:r>
        <w:rPr>
          <w:b w:val="0"/>
          <w:i w:val="0"/>
        </w:rPr>
        <w:t>The relational database will separate raw evidence, cleaned evidence and derived indicators. SQLite or DuckDB is sufficient for local development; PostgreSQL/PostGIS can be adopted if spatial joins, multi-user editing or large-scale deployment require it. Database releases will be versioned as v0_raw_ingest, v1_cleaned_core, v2_analysis_ready and v3_manuscript_freeze. Manuscripts will cite the database release used for each analysis.</w:t>
      </w:r>
    </w:p>
    <w:p>
      <w:pPr/>
      <w:r>
        <w:rPr>
          <w:b w:val="0"/>
          <w:i w:val="0"/>
        </w:rPr>
        <w:t>Standardisation will follow camera-trap data principles already used in the proposal: source/study, spatial unit, station, deployment, media/event and species-by-site summary. Where possible, field names will be cross-walked to Camtrap DP, Darwin Core, PREDICTS-style site/study logic and the project-specific TW-CVII evidence-state matrix. This preserves interoperability without forcing all Chinese literature sources into an unrealistic one-size-fits-all template.</w:t>
      </w:r>
    </w:p>
    <w:p>
      <w:pPr>
        <w:pStyle w:val="4"/>
        <w:keepNext/>
      </w:pPr>
      <w:r>
        <w:rPr>
          <w:b w:val="0"/>
          <w:i w:val="0"/>
        </w:rPr>
        <w:t>7.5 Analysis, Plotting and Manuscript Production</w:t>
      </w:r>
    </w:p>
    <w:p>
      <w:pPr/>
      <w:r>
        <w:rPr>
          <w:b w:val="0"/>
          <w:i w:val="0"/>
        </w:rPr>
        <w:t>The analysis layer will be scripted as a pipeline that can be rerun after new literature is added. A targets or Make-style workflow will generate summary tables, survey adequacy diagnostics, evidence-state classifications, TW-CVII components, sensitivity analyses, model outputs, maps and manuscript figures. Figures should be produced from frozen analysis-ready tables, not from manually edited plotting spreadsheets.</w:t>
      </w:r>
    </w:p>
    <w:p>
      <w:pPr/>
      <w:r>
        <w:rPr>
          <w:b w:val="0"/>
          <w:i w:val="0"/>
        </w:rPr>
        <w:t>The writing layer will use a manuscript folder containing outline, claims table, figures, tables, references.bib and a citation-audit checklist. AI agents may draft text, compare claims to extracted evidence, suggest figure captions and prepare reviewer-style critiques. They may not invent citations, smooth over uncertainty or cite a paper for a claim unless the claim-reference alignment has been checked against the source text or extracted evidence table.</w:t>
      </w:r>
    </w:p>
    <w:p>
      <w:pPr/>
      <w:r>
        <w:rPr>
          <w:b w:val="0"/>
          <w:i w:val="0"/>
        </w:rPr>
        <w:t>For each manuscript, the final quality gate will include: all claims linked to citation keys or database outputs; all figures reproducible from scripts; all cited papers present in Zotero; all extracted data rows traceable to pages or tables; all silent-range statements supported by survey adequacy; and all AI-assisted text reviewed by the author. This gate turns the AI toolchain into a documented research assistant rather than an untracked writing shortcut.</w:t>
      </w:r>
    </w:p>
    <w:p>
      <w:pPr>
        <w:keepNext/>
        <w:spacing w:after="80"/>
      </w:pPr>
      <w:r>
        <w:rPr>
          <w:b w:val="0"/>
          <w:i/>
        </w:rPr>
        <w:t>Table W4. Quality-control gates from literature to manuscript.</w:t>
      </w:r>
    </w:p>
    <w:tbl>
      <w:tblPr>
        <w:tblStyle w:val="33"/>
        <w:tblW w:type="dxa" w:w="9360"/>
        <w:jc w:val="left"/>
        <w:tblLayout w:type="fixed"/>
        <w:tblLook w:firstColumn="1" w:firstRow="1" w:lastColumn="0" w:lastRow="0" w:noHBand="0" w:noVBand="1" w:val="04A0"/>
        <w:tblInd w:w="120" w:type="dxa"/>
      </w:tblPr>
      <w:tblGrid>
        <w:gridCol w:w="3249"/>
        <w:gridCol w:w="3249"/>
        <w:gridCol w:w="3249"/>
      </w:tblGrid>
      <w:tr>
        <w:trPr>
          <w:cantSplit/>
          <w:tblHeader w:val="true"/>
        </w:trPr>
        <w:tc>
          <w:tcPr>
            <w:tcW w:type="dxa" w:w="2232"/>
            <w:vAlign w:val="center"/>
            <w:tcMar>
              <w:top w:w="80" w:type="dxa"/>
              <w:start w:w="120" w:type="dxa"/>
              <w:bottom w:w="80" w:type="dxa"/>
              <w:end w:w="120" w:type="dxa"/>
            </w:tcMar>
            <w:shd w:fill="F4F6F9"/>
          </w:tcPr>
          <w:p>
            <w:pPr>
              <w:spacing w:after="20" w:line="240" w:lineRule="auto"/>
            </w:pPr>
            <w:r>
              <w:rPr>
                <w:b/>
                <w:sz w:val="17"/>
              </w:rPr>
              <w:t>Transition</w:t>
            </w:r>
          </w:p>
        </w:tc>
        <w:tc>
          <w:tcPr>
            <w:tcW w:type="dxa" w:w="4320"/>
            <w:vAlign w:val="center"/>
            <w:tcMar>
              <w:top w:w="80" w:type="dxa"/>
              <w:start w:w="120" w:type="dxa"/>
              <w:bottom w:w="80" w:type="dxa"/>
              <w:end w:w="120" w:type="dxa"/>
            </w:tcMar>
            <w:shd w:fill="F4F6F9"/>
          </w:tcPr>
          <w:p>
            <w:pPr>
              <w:spacing w:after="20" w:line="240" w:lineRule="auto"/>
            </w:pPr>
            <w:r>
              <w:rPr>
                <w:b/>
                <w:sz w:val="17"/>
              </w:rPr>
              <w:t>Blocking check</w:t>
            </w:r>
          </w:p>
        </w:tc>
        <w:tc>
          <w:tcPr>
            <w:tcW w:type="dxa" w:w="2808"/>
            <w:vAlign w:val="center"/>
            <w:tcMar>
              <w:top w:w="80" w:type="dxa"/>
              <w:start w:w="120" w:type="dxa"/>
              <w:bottom w:w="80" w:type="dxa"/>
              <w:end w:w="120" w:type="dxa"/>
            </w:tcMar>
            <w:shd w:fill="F4F6F9"/>
          </w:tcPr>
          <w:p>
            <w:pPr>
              <w:spacing w:after="20" w:line="240" w:lineRule="auto"/>
            </w:pPr>
            <w:r>
              <w:rPr>
                <w:b/>
                <w:sz w:val="17"/>
              </w:rPr>
              <w:t>Failure response</w:t>
            </w:r>
          </w:p>
        </w:tc>
      </w:tr>
      <w:tr>
        <w:trPr>
          <w:cantSplit/>
        </w:trPr>
        <w:tc>
          <w:tcPr>
            <w:tcW w:type="dxa" w:w="2232"/>
            <w:vAlign w:val="center"/>
            <w:tcMar>
              <w:top w:w="80" w:type="dxa"/>
              <w:start w:w="120" w:type="dxa"/>
              <w:bottom w:w="80" w:type="dxa"/>
              <w:end w:w="120" w:type="dxa"/>
            </w:tcMar>
          </w:tcPr>
          <w:p>
            <w:pPr>
              <w:spacing w:after="20" w:line="240" w:lineRule="auto"/>
            </w:pPr>
            <w:r>
              <w:rPr>
                <w:sz w:val="17"/>
              </w:rPr>
              <w:t>Search -&gt; Zotero</w:t>
            </w:r>
          </w:p>
        </w:tc>
        <w:tc>
          <w:tcPr>
            <w:tcW w:type="dxa" w:w="4320"/>
            <w:vAlign w:val="center"/>
            <w:tcMar>
              <w:top w:w="80" w:type="dxa"/>
              <w:start w:w="120" w:type="dxa"/>
              <w:bottom w:w="80" w:type="dxa"/>
              <w:end w:w="120" w:type="dxa"/>
            </w:tcMar>
          </w:tcPr>
          <w:p>
            <w:pPr>
              <w:spacing w:after="20" w:line="240" w:lineRule="auto"/>
            </w:pPr>
            <w:r>
              <w:rPr>
                <w:sz w:val="17"/>
              </w:rPr>
              <w:t>Search log, exported citation file and import count agree.</w:t>
            </w:r>
          </w:p>
        </w:tc>
        <w:tc>
          <w:tcPr>
            <w:tcW w:type="dxa" w:w="2808"/>
            <w:vAlign w:val="center"/>
            <w:tcMar>
              <w:top w:w="80" w:type="dxa"/>
              <w:start w:w="120" w:type="dxa"/>
              <w:bottom w:w="80" w:type="dxa"/>
              <w:end w:w="120" w:type="dxa"/>
            </w:tcMar>
          </w:tcPr>
          <w:p>
            <w:pPr>
              <w:spacing w:after="20" w:line="240" w:lineRule="auto"/>
            </w:pPr>
            <w:r>
              <w:rPr>
                <w:sz w:val="17"/>
              </w:rPr>
              <w:t>Repeat export or mark database-specific loss.</w:t>
            </w:r>
          </w:p>
        </w:tc>
      </w:tr>
      <w:tr>
        <w:trPr>
          <w:cantSplit/>
        </w:trPr>
        <w:tc>
          <w:tcPr>
            <w:tcW w:type="dxa" w:w="2232"/>
            <w:vAlign w:val="center"/>
            <w:tcMar>
              <w:top w:w="80" w:type="dxa"/>
              <w:start w:w="120" w:type="dxa"/>
              <w:bottom w:w="80" w:type="dxa"/>
              <w:end w:w="120" w:type="dxa"/>
            </w:tcMar>
          </w:tcPr>
          <w:p>
            <w:pPr>
              <w:spacing w:after="20" w:line="240" w:lineRule="auto"/>
            </w:pPr>
            <w:r>
              <w:rPr>
                <w:sz w:val="17"/>
              </w:rPr>
              <w:t>Zotero -&gt; full text</w:t>
            </w:r>
          </w:p>
        </w:tc>
        <w:tc>
          <w:tcPr>
            <w:tcW w:type="dxa" w:w="4320"/>
            <w:vAlign w:val="center"/>
            <w:tcMar>
              <w:top w:w="80" w:type="dxa"/>
              <w:start w:w="120" w:type="dxa"/>
              <w:bottom w:w="80" w:type="dxa"/>
              <w:end w:w="120" w:type="dxa"/>
            </w:tcMar>
          </w:tcPr>
          <w:p>
            <w:pPr>
              <w:spacing w:after="20" w:line="240" w:lineRule="auto"/>
            </w:pPr>
            <w:r>
              <w:rPr>
                <w:sz w:val="17"/>
              </w:rPr>
              <w:t>Every included record has access route, PDF/CAJ status and legal-use status.</w:t>
            </w:r>
          </w:p>
        </w:tc>
        <w:tc>
          <w:tcPr>
            <w:tcW w:type="dxa" w:w="2808"/>
            <w:vAlign w:val="center"/>
            <w:tcMar>
              <w:top w:w="80" w:type="dxa"/>
              <w:start w:w="120" w:type="dxa"/>
              <w:bottom w:w="80" w:type="dxa"/>
              <w:end w:w="120" w:type="dxa"/>
            </w:tcMar>
          </w:tcPr>
          <w:p>
            <w:pPr>
              <w:spacing w:after="20" w:line="240" w:lineRule="auto"/>
            </w:pPr>
            <w:r>
              <w:rPr>
                <w:sz w:val="17"/>
              </w:rPr>
              <w:t>Do not extract until source file or explicit no-full-text reason exists.</w:t>
            </w:r>
          </w:p>
        </w:tc>
      </w:tr>
      <w:tr>
        <w:trPr>
          <w:cantSplit/>
        </w:trPr>
        <w:tc>
          <w:tcPr>
            <w:tcW w:type="dxa" w:w="2232"/>
            <w:vAlign w:val="center"/>
            <w:tcMar>
              <w:top w:w="80" w:type="dxa"/>
              <w:start w:w="120" w:type="dxa"/>
              <w:bottom w:w="80" w:type="dxa"/>
              <w:end w:w="120" w:type="dxa"/>
            </w:tcMar>
          </w:tcPr>
          <w:p>
            <w:pPr>
              <w:spacing w:after="20" w:line="240" w:lineRule="auto"/>
            </w:pPr>
            <w:r>
              <w:rPr>
                <w:sz w:val="17"/>
              </w:rPr>
              <w:t>Full text -&gt; extraction</w:t>
            </w:r>
          </w:p>
        </w:tc>
        <w:tc>
          <w:tcPr>
            <w:tcW w:type="dxa" w:w="4320"/>
            <w:vAlign w:val="center"/>
            <w:tcMar>
              <w:top w:w="80" w:type="dxa"/>
              <w:start w:w="120" w:type="dxa"/>
              <w:bottom w:w="80" w:type="dxa"/>
              <w:end w:w="120" w:type="dxa"/>
            </w:tcMar>
          </w:tcPr>
          <w:p>
            <w:pPr>
              <w:spacing w:after="20" w:line="240" w:lineRule="auto"/>
            </w:pPr>
            <w:r>
              <w:rPr>
                <w:sz w:val="17"/>
              </w:rPr>
              <w:t>PDF/CAJ renders or parses; OCR quality sufficient for tables and captions.</w:t>
            </w:r>
          </w:p>
        </w:tc>
        <w:tc>
          <w:tcPr>
            <w:tcW w:type="dxa" w:w="2808"/>
            <w:vAlign w:val="center"/>
            <w:tcMar>
              <w:top w:w="80" w:type="dxa"/>
              <w:start w:w="120" w:type="dxa"/>
              <w:bottom w:w="80" w:type="dxa"/>
              <w:end w:w="120" w:type="dxa"/>
            </w:tcMar>
          </w:tcPr>
          <w:p>
            <w:pPr>
              <w:spacing w:after="20" w:line="240" w:lineRule="auto"/>
            </w:pPr>
            <w:r>
              <w:rPr>
                <w:sz w:val="17"/>
              </w:rPr>
              <w:t>Manual OCR, alternative source or exclusion note.</w:t>
            </w:r>
          </w:p>
        </w:tc>
      </w:tr>
      <w:tr>
        <w:trPr>
          <w:cantSplit/>
        </w:trPr>
        <w:tc>
          <w:tcPr>
            <w:tcW w:type="dxa" w:w="2232"/>
            <w:vAlign w:val="center"/>
            <w:tcMar>
              <w:top w:w="80" w:type="dxa"/>
              <w:start w:w="120" w:type="dxa"/>
              <w:bottom w:w="80" w:type="dxa"/>
              <w:end w:w="120" w:type="dxa"/>
            </w:tcMar>
          </w:tcPr>
          <w:p>
            <w:pPr>
              <w:spacing w:after="20" w:line="240" w:lineRule="auto"/>
            </w:pPr>
            <w:r>
              <w:rPr>
                <w:sz w:val="17"/>
              </w:rPr>
              <w:t>Extraction -&gt; clean data</w:t>
            </w:r>
          </w:p>
        </w:tc>
        <w:tc>
          <w:tcPr>
            <w:tcW w:type="dxa" w:w="4320"/>
            <w:vAlign w:val="center"/>
            <w:tcMar>
              <w:top w:w="80" w:type="dxa"/>
              <w:start w:w="120" w:type="dxa"/>
              <w:bottom w:w="80" w:type="dxa"/>
              <w:end w:w="120" w:type="dxa"/>
            </w:tcMar>
          </w:tcPr>
          <w:p>
            <w:pPr>
              <w:spacing w:after="20" w:line="240" w:lineRule="auto"/>
            </w:pPr>
            <w:r>
              <w:rPr>
                <w:sz w:val="17"/>
              </w:rPr>
              <w:t>High-impact fields are human-verified and uncertainty flags retained.</w:t>
            </w:r>
          </w:p>
        </w:tc>
        <w:tc>
          <w:tcPr>
            <w:tcW w:type="dxa" w:w="2808"/>
            <w:vAlign w:val="center"/>
            <w:tcMar>
              <w:top w:w="80" w:type="dxa"/>
              <w:start w:w="120" w:type="dxa"/>
              <w:bottom w:w="80" w:type="dxa"/>
              <w:end w:w="120" w:type="dxa"/>
            </w:tcMar>
          </w:tcPr>
          <w:p>
            <w:pPr>
              <w:spacing w:after="20" w:line="240" w:lineRule="auto"/>
            </w:pPr>
            <w:r>
              <w:rPr>
                <w:sz w:val="17"/>
              </w:rPr>
              <w:t>Return to PDF pages; no silent correction without audit row.</w:t>
            </w:r>
          </w:p>
        </w:tc>
      </w:tr>
      <w:tr>
        <w:trPr>
          <w:cantSplit/>
        </w:trPr>
        <w:tc>
          <w:tcPr>
            <w:tcW w:type="dxa" w:w="2232"/>
            <w:vAlign w:val="center"/>
            <w:tcMar>
              <w:top w:w="80" w:type="dxa"/>
              <w:start w:w="120" w:type="dxa"/>
              <w:bottom w:w="80" w:type="dxa"/>
              <w:end w:w="120" w:type="dxa"/>
            </w:tcMar>
          </w:tcPr>
          <w:p>
            <w:pPr>
              <w:spacing w:after="20" w:line="240" w:lineRule="auto"/>
            </w:pPr>
            <w:r>
              <w:rPr>
                <w:sz w:val="17"/>
              </w:rPr>
              <w:t>Clean data -&gt; database</w:t>
            </w:r>
          </w:p>
        </w:tc>
        <w:tc>
          <w:tcPr>
            <w:tcW w:type="dxa" w:w="4320"/>
            <w:vAlign w:val="center"/>
            <w:tcMar>
              <w:top w:w="80" w:type="dxa"/>
              <w:start w:w="120" w:type="dxa"/>
              <w:bottom w:w="80" w:type="dxa"/>
              <w:end w:w="120" w:type="dxa"/>
            </w:tcMar>
          </w:tcPr>
          <w:p>
            <w:pPr>
              <w:spacing w:after="20" w:line="240" w:lineRule="auto"/>
            </w:pPr>
            <w:r>
              <w:rPr>
                <w:sz w:val="17"/>
              </w:rPr>
              <w:t>Primary keys, taxonomic IDs, date formats, coordinates and effort denominators validate.</w:t>
            </w:r>
          </w:p>
        </w:tc>
        <w:tc>
          <w:tcPr>
            <w:tcW w:type="dxa" w:w="2808"/>
            <w:vAlign w:val="center"/>
            <w:tcMar>
              <w:top w:w="80" w:type="dxa"/>
              <w:start w:w="120" w:type="dxa"/>
              <w:bottom w:w="80" w:type="dxa"/>
              <w:end w:w="120" w:type="dxa"/>
            </w:tcMar>
          </w:tcPr>
          <w:p>
            <w:pPr>
              <w:spacing w:after="20" w:line="240" w:lineRule="auto"/>
            </w:pPr>
            <w:r>
              <w:rPr>
                <w:sz w:val="17"/>
              </w:rPr>
              <w:t>Block database release until validation passes.</w:t>
            </w:r>
          </w:p>
        </w:tc>
      </w:tr>
      <w:tr>
        <w:trPr>
          <w:cantSplit/>
        </w:trPr>
        <w:tc>
          <w:tcPr>
            <w:tcW w:type="dxa" w:w="2232"/>
            <w:vAlign w:val="center"/>
            <w:tcMar>
              <w:top w:w="80" w:type="dxa"/>
              <w:start w:w="120" w:type="dxa"/>
              <w:bottom w:w="80" w:type="dxa"/>
              <w:end w:w="120" w:type="dxa"/>
            </w:tcMar>
          </w:tcPr>
          <w:p>
            <w:pPr>
              <w:spacing w:after="20" w:line="240" w:lineRule="auto"/>
            </w:pPr>
            <w:r>
              <w:rPr>
                <w:sz w:val="17"/>
              </w:rPr>
              <w:t>Database -&gt; analysis</w:t>
            </w:r>
          </w:p>
        </w:tc>
        <w:tc>
          <w:tcPr>
            <w:tcW w:type="dxa" w:w="4320"/>
            <w:vAlign w:val="center"/>
            <w:tcMar>
              <w:top w:w="80" w:type="dxa"/>
              <w:start w:w="120" w:type="dxa"/>
              <w:bottom w:w="80" w:type="dxa"/>
              <w:end w:w="120" w:type="dxa"/>
            </w:tcMar>
          </w:tcPr>
          <w:p>
            <w:pPr>
              <w:spacing w:after="20" w:line="240" w:lineRule="auto"/>
            </w:pPr>
            <w:r>
              <w:rPr>
                <w:sz w:val="17"/>
              </w:rPr>
              <w:t>Analysis-ready tables have frozen version, schema and checksums.</w:t>
            </w:r>
          </w:p>
        </w:tc>
        <w:tc>
          <w:tcPr>
            <w:tcW w:type="dxa" w:w="2808"/>
            <w:vAlign w:val="center"/>
            <w:tcMar>
              <w:top w:w="80" w:type="dxa"/>
              <w:start w:w="120" w:type="dxa"/>
              <w:bottom w:w="80" w:type="dxa"/>
              <w:end w:w="120" w:type="dxa"/>
            </w:tcMar>
          </w:tcPr>
          <w:p>
            <w:pPr>
              <w:spacing w:after="20" w:line="240" w:lineRule="auto"/>
            </w:pPr>
            <w:r>
              <w:rPr>
                <w:sz w:val="17"/>
              </w:rPr>
              <w:t>Regenerate or document intentional change.</w:t>
            </w:r>
          </w:p>
        </w:tc>
      </w:tr>
      <w:tr>
        <w:trPr>
          <w:cantSplit/>
        </w:trPr>
        <w:tc>
          <w:tcPr>
            <w:tcW w:type="dxa" w:w="2232"/>
            <w:vAlign w:val="center"/>
            <w:tcMar>
              <w:top w:w="80" w:type="dxa"/>
              <w:start w:w="120" w:type="dxa"/>
              <w:bottom w:w="80" w:type="dxa"/>
              <w:end w:w="120" w:type="dxa"/>
            </w:tcMar>
          </w:tcPr>
          <w:p>
            <w:pPr>
              <w:spacing w:after="20" w:line="240" w:lineRule="auto"/>
            </w:pPr>
            <w:r>
              <w:rPr>
                <w:sz w:val="17"/>
              </w:rPr>
              <w:t>Analysis -&gt; manuscript</w:t>
            </w:r>
          </w:p>
        </w:tc>
        <w:tc>
          <w:tcPr>
            <w:tcW w:type="dxa" w:w="4320"/>
            <w:vAlign w:val="center"/>
            <w:tcMar>
              <w:top w:w="80" w:type="dxa"/>
              <w:start w:w="120" w:type="dxa"/>
              <w:bottom w:w="80" w:type="dxa"/>
              <w:end w:w="120" w:type="dxa"/>
            </w:tcMar>
          </w:tcPr>
          <w:p>
            <w:pPr>
              <w:spacing w:after="20" w:line="240" w:lineRule="auto"/>
            </w:pPr>
            <w:r>
              <w:rPr>
                <w:sz w:val="17"/>
              </w:rPr>
              <w:t>Figures rerun from scripts; claims align with citations and derived tables.</w:t>
            </w:r>
          </w:p>
        </w:tc>
        <w:tc>
          <w:tcPr>
            <w:tcW w:type="dxa" w:w="2808"/>
            <w:vAlign w:val="center"/>
            <w:tcMar>
              <w:top w:w="80" w:type="dxa"/>
              <w:start w:w="120" w:type="dxa"/>
              <w:bottom w:w="80" w:type="dxa"/>
              <w:end w:w="120" w:type="dxa"/>
            </w:tcMar>
          </w:tcPr>
          <w:p>
            <w:pPr>
              <w:spacing w:after="20" w:line="240" w:lineRule="auto"/>
            </w:pPr>
            <w:r>
              <w:rPr>
                <w:sz w:val="17"/>
              </w:rPr>
              <w:t>Revise text or analysis before submission.</w:t>
            </w:r>
          </w:p>
        </w:tc>
      </w:tr>
    </w:tbl>
    <w:p>
      <w:pPr>
        <w:pStyle w:val="4"/>
        <w:keepNext/>
      </w:pPr>
      <w:r>
        <w:rPr>
          <w:b w:val="0"/>
          <w:i w:val="0"/>
        </w:rPr>
        <w:t>7.6 Recommended Project Folder and File Naming System</w:t>
      </w:r>
    </w:p>
    <w:p>
      <w:pPr/>
      <w:r>
        <w:rPr>
          <w:b w:val="0"/>
          <w:i w:val="0"/>
        </w:rPr>
        <w:t>The project repository will mirror the workflow so that files are findable by humans and AI agents alike: 00_admin for protocols and decision logs; 01_search_exports for raw database exports; 02_zotero_exports for references.bib and collection snapshots; 03_full_text for authorised PDFs/CAJ files or Zotero-linked manifests; 04_extraction_raw for AI and manual extraction outputs; 05_cleaning_scripts for standardisation; 06_database for SQLite/DuckDB releases and schema; 07_analysis for model scripts and notebooks; 08_figures_tables for reproducible outputs; 09_manuscripts for drafts; and 10_audits for extraction, citation and reproducibility checks.</w:t>
      </w:r>
    </w:p>
    <w:p>
      <w:pPr/>
      <w:r>
        <w:rPr>
          <w:b w:val="0"/>
          <w:i w:val="0"/>
        </w:rPr>
        <w:t>File names should start with sortable dates or stable IDs: source_id, Zotero item key, species_id, site_id and database release version. For example: 20260613_search_log_cnki_camera_trap.csv, SRC000142_extraction_raw.xlsx, twcvii_v1_cleaned_core.duckdb and ms1_framework_claim_audit_20260613.csv. This small discipline makes later AI retrieval far more accurate because the file system itself carries project meaning.</w:t>
      </w:r>
    </w:p>
    <w:p w14:paraId="39B2AB88">
      <w:pPr>
        <w:pStyle w:val="3"/>
        <w:keepNext/>
        <w:pageBreakBefore/>
        <w:spacing w:before="200" w:after="100"/>
        <w:rPr>
          <w:color w:val="auto"/>
        </w:rPr>
      </w:pPr>
      <w:r>
        <w:t>8. Work Plan and Milestones</w:t>
      </w:r>
    </w:p>
    <w:p>
      <w:pPr>
        <w:keepNext/>
        <w:spacing w:after="80"/>
      </w:pPr>
      <w:r>
        <w:rPr>
          <w:i/>
        </w:rPr>
        <w:t>Table 3. Work packages, timing and deliverables.</w:t>
      </w:r>
    </w:p>
    <w:tbl>
      <w:tblPr>
        <w:tblStyle w:val="33"/>
        <w:tblW w:w="9360"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Ind w:w="120" w:type="dxa"/>
      </w:tblPr>
      <w:tblGrid>
        <w:gridCol w:w="2436"/>
        <w:gridCol w:w="2436"/>
        <w:gridCol w:w="2436"/>
        <w:gridCol w:w="2436"/>
      </w:tblGrid>
      <w:tr w14:paraId="0AE28014">
        <w:trPr>
          <w:tblHeader w:val="true"/>
          <w:jc w:val="center"/>
          <w:cantSplit/>
        </w:trPr>
        <w:tc>
          <w:tcPr>
            <w:tcW w:w="1800" w:type="dxa"/>
            <w:shd w:val="clear" w:color="auto" w:fill="F4F6F9"/>
            <w:vAlign w:val="center"/>
            <w:tcMar>
              <w:top w:w="80" w:type="dxa"/>
              <w:start w:w="120" w:type="dxa"/>
              <w:bottom w:w="80" w:type="dxa"/>
              <w:end w:w="120" w:type="dxa"/>
            </w:tcMar>
          </w:tcPr>
          <w:p>
            <w:pPr>
              <w:spacing w:after="20" w:line="240" w:lineRule="auto"/>
            </w:pPr>
            <w:r>
              <w:rPr>
                <w:b/>
                <w:sz w:val="17"/>
              </w:rPr>
              <w:t>Work package</w:t>
            </w:r>
          </w:p>
        </w:tc>
        <w:tc>
          <w:tcPr>
            <w:tcW w:w="3816" w:type="dxa"/>
            <w:shd w:val="clear" w:color="auto" w:fill="F4F6F9"/>
            <w:vAlign w:val="center"/>
            <w:tcMar>
              <w:top w:w="80" w:type="dxa"/>
              <w:start w:w="120" w:type="dxa"/>
              <w:bottom w:w="80" w:type="dxa"/>
              <w:end w:w="120" w:type="dxa"/>
            </w:tcMar>
          </w:tcPr>
          <w:p>
            <w:pPr>
              <w:spacing w:after="20" w:line="240" w:lineRule="auto"/>
            </w:pPr>
            <w:r>
              <w:rPr>
                <w:b/>
                <w:sz w:val="17"/>
              </w:rPr>
              <w:t>Key activities</w:t>
            </w:r>
          </w:p>
        </w:tc>
        <w:tc>
          <w:tcPr>
            <w:tcW w:w="1224" w:type="dxa"/>
            <w:shd w:val="clear" w:color="auto" w:fill="F4F6F9"/>
            <w:vAlign w:val="center"/>
            <w:tcMar>
              <w:top w:w="80" w:type="dxa"/>
              <w:start w:w="120" w:type="dxa"/>
              <w:bottom w:w="80" w:type="dxa"/>
              <w:end w:w="120" w:type="dxa"/>
            </w:tcMar>
          </w:tcPr>
          <w:p>
            <w:pPr>
              <w:spacing w:after="20" w:line="240" w:lineRule="auto"/>
            </w:pPr>
            <w:r>
              <w:rPr>
                <w:b/>
                <w:sz w:val="17"/>
              </w:rPr>
              <w:t>Timing</w:t>
            </w:r>
          </w:p>
        </w:tc>
        <w:tc>
          <w:tcPr>
            <w:tcW w:w="2520" w:type="dxa"/>
            <w:shd w:val="clear" w:color="auto" w:fill="F4F6F9"/>
            <w:vAlign w:val="center"/>
            <w:tcMar>
              <w:top w:w="80" w:type="dxa"/>
              <w:start w:w="120" w:type="dxa"/>
              <w:bottom w:w="80" w:type="dxa"/>
              <w:end w:w="120" w:type="dxa"/>
            </w:tcMar>
          </w:tcPr>
          <w:p>
            <w:pPr>
              <w:spacing w:after="20" w:line="240" w:lineRule="auto"/>
            </w:pPr>
            <w:r>
              <w:rPr>
                <w:b/>
                <w:sz w:val="17"/>
              </w:rPr>
              <w:t>Deliverables</w:t>
            </w:r>
          </w:p>
        </w:tc>
      </w:tr>
      <w:tr w14:paraId="7998E871">
        <w:trPr>
          <w:jc w:val="center"/>
          <w:cantSplit/>
        </w:trPr>
        <w:tc>
          <w:tcPr>
            <w:tcW w:w="1800" w:type="dxa"/>
            <w:vAlign w:val="center"/>
            <w:tcMar>
              <w:top w:w="80" w:type="dxa"/>
              <w:start w:w="120" w:type="dxa"/>
              <w:bottom w:w="80" w:type="dxa"/>
              <w:end w:w="120" w:type="dxa"/>
            </w:tcMar>
          </w:tcPr>
          <w:p>
            <w:pPr>
              <w:spacing w:after="20" w:line="240" w:lineRule="auto"/>
            </w:pPr>
            <w:r>
              <w:rPr>
                <w:sz w:val="17"/>
              </w:rPr>
              <w:t>WP0. Research workflow infrastructure</w:t>
            </w:r>
          </w:p>
        </w:tc>
        <w:tc>
          <w:tcPr>
            <w:tcW w:w="3816" w:type="dxa"/>
            <w:vAlign w:val="center"/>
            <w:tcMar>
              <w:top w:w="80" w:type="dxa"/>
              <w:start w:w="120" w:type="dxa"/>
              <w:bottom w:w="80" w:type="dxa"/>
              <w:end w:w="120" w:type="dxa"/>
            </w:tcMar>
          </w:tcPr>
          <w:p>
            <w:pPr>
              <w:spacing w:after="20" w:line="240" w:lineRule="auto"/>
            </w:pPr>
            <w:r>
              <w:rPr>
                <w:sz w:val="17"/>
              </w:rPr>
              <w:t>Set up project repository, Zotero collection, Better BibTeX export, OneFind index, search-log templates, PDF manifest, extraction schema and database validation scripts.</w:t>
            </w:r>
          </w:p>
        </w:tc>
        <w:tc>
          <w:tcPr>
            <w:tcW w:w="1224" w:type="dxa"/>
            <w:vAlign w:val="center"/>
            <w:tcMar>
              <w:top w:w="80" w:type="dxa"/>
              <w:start w:w="120" w:type="dxa"/>
              <w:bottom w:w="80" w:type="dxa"/>
              <w:end w:w="120" w:type="dxa"/>
            </w:tcMar>
          </w:tcPr>
          <w:p>
            <w:pPr>
              <w:spacing w:after="20" w:line="240" w:lineRule="auto"/>
            </w:pPr>
            <w:r>
              <w:rPr>
                <w:sz w:val="17"/>
              </w:rPr>
              <w:t>Months 0-2</w:t>
            </w:r>
          </w:p>
        </w:tc>
        <w:tc>
          <w:tcPr>
            <w:tcW w:w="2520" w:type="dxa"/>
            <w:vAlign w:val="center"/>
            <w:tcMar>
              <w:top w:w="80" w:type="dxa"/>
              <w:start w:w="120" w:type="dxa"/>
              <w:bottom w:w="80" w:type="dxa"/>
              <w:end w:w="120" w:type="dxa"/>
            </w:tcMar>
          </w:tcPr>
          <w:p>
            <w:pPr>
              <w:spacing w:after="20" w:line="240" w:lineRule="auto"/>
            </w:pPr>
            <w:r>
              <w:rPr>
                <w:sz w:val="17"/>
              </w:rPr>
              <w:t>Operational literature-to-database workflow, Zotero/OneFind knowledge base, extraction templates, QA gates.</w:t>
            </w:r>
          </w:p>
        </w:tc>
      </w:tr>
      <w:tr w14:paraId="7E72503C">
        <w:trPr>
          <w:jc w:val="center"/>
          <w:cantSplit/>
        </w:trPr>
        <w:tc>
          <w:tcPr>
            <w:tcW w:w="1800" w:type="dxa"/>
            <w:vAlign w:val="center"/>
            <w:tcMar>
              <w:top w:w="80" w:type="dxa"/>
              <w:start w:w="120" w:type="dxa"/>
              <w:bottom w:w="80" w:type="dxa"/>
              <w:end w:w="120" w:type="dxa"/>
            </w:tcMar>
          </w:tcPr>
          <w:p>
            <w:pPr>
              <w:spacing w:after="20" w:line="240" w:lineRule="auto"/>
            </w:pPr>
            <w:r>
              <w:rPr>
                <w:sz w:val="17"/>
              </w:rPr>
              <w:t>WP1. Literature and data compilation</w:t>
            </w:r>
          </w:p>
        </w:tc>
        <w:tc>
          <w:tcPr>
            <w:tcW w:w="3816" w:type="dxa"/>
            <w:vAlign w:val="center"/>
            <w:tcMar>
              <w:top w:w="80" w:type="dxa"/>
              <w:start w:w="120" w:type="dxa"/>
              <w:bottom w:w="80" w:type="dxa"/>
              <w:end w:w="120" w:type="dxa"/>
            </w:tcMar>
          </w:tcPr>
          <w:p>
            <w:pPr>
              <w:spacing w:after="20" w:line="240" w:lineRule="auto"/>
            </w:pPr>
            <w:r>
              <w:rPr>
                <w:sz w:val="17"/>
              </w:rPr>
              <w:t>Run bilingual searches, import citations, acquire authorised full texts, screen studies, extract camera-trap records, complementary surveys, historical distributions, Red List categories, traits and environmental covariates.</w:t>
            </w:r>
          </w:p>
        </w:tc>
        <w:tc>
          <w:tcPr>
            <w:tcW w:w="1224" w:type="dxa"/>
            <w:vAlign w:val="center"/>
            <w:tcMar>
              <w:top w:w="80" w:type="dxa"/>
              <w:start w:w="120" w:type="dxa"/>
              <w:bottom w:w="80" w:type="dxa"/>
              <w:end w:w="120" w:type="dxa"/>
            </w:tcMar>
          </w:tcPr>
          <w:p>
            <w:pPr>
              <w:spacing w:after="20" w:line="240" w:lineRule="auto"/>
            </w:pPr>
            <w:r>
              <w:rPr>
                <w:sz w:val="17"/>
              </w:rPr>
              <w:t>Months 1-5</w:t>
            </w:r>
          </w:p>
        </w:tc>
        <w:tc>
          <w:tcPr>
            <w:tcW w:w="2520" w:type="dxa"/>
            <w:vAlign w:val="center"/>
            <w:tcMar>
              <w:top w:w="80" w:type="dxa"/>
              <w:start w:w="120" w:type="dxa"/>
              <w:bottom w:w="80" w:type="dxa"/>
              <w:end w:w="120" w:type="dxa"/>
            </w:tcMar>
          </w:tcPr>
          <w:p>
            <w:pPr>
              <w:spacing w:after="20" w:line="240" w:lineRule="auto"/>
            </w:pPr>
            <w:r>
              <w:rPr>
                <w:sz w:val="17"/>
              </w:rPr>
              <w:t>Verified literature corpus, extracted evidence tables, harmonised database, taxonomic backbone, historical species-pool matrix.</w:t>
            </w:r>
          </w:p>
        </w:tc>
      </w:tr>
      <w:tr w14:paraId="15EE10F4">
        <w:trPr>
          <w:jc w:val="center"/>
          <w:cantSplit/>
        </w:trPr>
        <w:tc>
          <w:tcPr>
            <w:tcW w:w="1800" w:type="dxa"/>
            <w:vAlign w:val="center"/>
            <w:tcMar>
              <w:top w:w="80" w:type="dxa"/>
              <w:start w:w="120" w:type="dxa"/>
              <w:bottom w:w="80" w:type="dxa"/>
              <w:end w:w="120" w:type="dxa"/>
            </w:tcMar>
          </w:tcPr>
          <w:p>
            <w:pPr>
              <w:spacing w:after="20" w:line="240" w:lineRule="auto"/>
            </w:pPr>
            <w:r>
              <w:rPr>
                <w:sz w:val="17"/>
              </w:rPr>
              <w:t>WP2. Survey adequacy and detection framework</w:t>
            </w:r>
          </w:p>
        </w:tc>
        <w:tc>
          <w:tcPr>
            <w:tcW w:w="3816" w:type="dxa"/>
            <w:vAlign w:val="center"/>
            <w:tcMar>
              <w:top w:w="80" w:type="dxa"/>
              <w:start w:w="120" w:type="dxa"/>
              <w:bottom w:w="80" w:type="dxa"/>
              <w:end w:w="120" w:type="dxa"/>
            </w:tcMar>
          </w:tcPr>
          <w:p>
            <w:pPr>
              <w:spacing w:after="20" w:line="240" w:lineRule="auto"/>
            </w:pPr>
            <w:r>
              <w:rPr>
                <w:sz w:val="17"/>
              </w:rPr>
              <w:t>Define species- or group-specific survey adequacy criteria, estimate detection probability where data allow, and classify surveyed versus insufficiently surveyed units.</w:t>
            </w:r>
          </w:p>
        </w:tc>
        <w:tc>
          <w:tcPr>
            <w:tcW w:w="1224" w:type="dxa"/>
            <w:vAlign w:val="center"/>
            <w:tcMar>
              <w:top w:w="80" w:type="dxa"/>
              <w:start w:w="120" w:type="dxa"/>
              <w:bottom w:w="80" w:type="dxa"/>
              <w:end w:w="120" w:type="dxa"/>
            </w:tcMar>
          </w:tcPr>
          <w:p>
            <w:pPr>
              <w:spacing w:after="20" w:line="240" w:lineRule="auto"/>
            </w:pPr>
            <w:r>
              <w:rPr>
                <w:sz w:val="17"/>
              </w:rPr>
              <w:t>Months 5-8</w:t>
            </w:r>
          </w:p>
        </w:tc>
        <w:tc>
          <w:tcPr>
            <w:tcW w:w="2520" w:type="dxa"/>
            <w:vAlign w:val="center"/>
            <w:tcMar>
              <w:top w:w="80" w:type="dxa"/>
              <w:start w:w="120" w:type="dxa"/>
              <w:bottom w:w="80" w:type="dxa"/>
              <w:end w:w="120" w:type="dxa"/>
            </w:tcMar>
          </w:tcPr>
          <w:p>
            <w:pPr>
              <w:spacing w:after="20" w:line="240" w:lineRule="auto"/>
            </w:pPr>
            <w:r>
              <w:rPr>
                <w:sz w:val="17"/>
              </w:rPr>
              <w:t>Survey adequacy map, detection-correction workflow, preliminary evidence-state classification.</w:t>
            </w:r>
          </w:p>
        </w:tc>
      </w:tr>
      <w:tr w14:paraId="1C7C4A89">
        <w:trPr>
          <w:jc w:val="center"/>
          <w:cantSplit/>
        </w:trPr>
        <w:tc>
          <w:tcPr>
            <w:tcW w:w="1800" w:type="dxa"/>
            <w:vAlign w:val="center"/>
            <w:tcMar>
              <w:top w:w="80" w:type="dxa"/>
              <w:start w:w="120" w:type="dxa"/>
              <w:bottom w:w="80" w:type="dxa"/>
              <w:end w:w="120" w:type="dxa"/>
            </w:tcMar>
          </w:tcPr>
          <w:p>
            <w:pPr>
              <w:spacing w:after="20" w:line="240" w:lineRule="auto"/>
            </w:pPr>
            <w:r>
              <w:rPr>
                <w:sz w:val="17"/>
              </w:rPr>
              <w:t>WP3. Index development</w:t>
            </w:r>
          </w:p>
        </w:tc>
        <w:tc>
          <w:tcPr>
            <w:tcW w:w="3816" w:type="dxa"/>
            <w:vAlign w:val="center"/>
            <w:tcMar>
              <w:top w:w="80" w:type="dxa"/>
              <w:start w:w="120" w:type="dxa"/>
              <w:bottom w:w="80" w:type="dxa"/>
              <w:end w:w="120" w:type="dxa"/>
            </w:tcMar>
          </w:tcPr>
          <w:p>
            <w:pPr>
              <w:spacing w:after="20" w:line="240" w:lineRule="auto"/>
            </w:pPr>
            <w:r>
              <w:rPr>
                <w:sz w:val="17"/>
              </w:rPr>
              <w:t>Calculate species, detection-corrected, threat-weighted, functional and abundance-proxy intactness. Test alternative baselines and weighting schemes.</w:t>
            </w:r>
          </w:p>
        </w:tc>
        <w:tc>
          <w:tcPr>
            <w:tcW w:w="1224" w:type="dxa"/>
            <w:vAlign w:val="center"/>
            <w:tcMar>
              <w:top w:w="80" w:type="dxa"/>
              <w:start w:w="120" w:type="dxa"/>
              <w:bottom w:w="80" w:type="dxa"/>
              <w:end w:w="120" w:type="dxa"/>
            </w:tcMar>
          </w:tcPr>
          <w:p>
            <w:pPr>
              <w:spacing w:after="20" w:line="240" w:lineRule="auto"/>
            </w:pPr>
            <w:r>
              <w:rPr>
                <w:sz w:val="17"/>
              </w:rPr>
              <w:t>Months 9-12</w:t>
            </w:r>
          </w:p>
        </w:tc>
        <w:tc>
          <w:tcPr>
            <w:tcW w:w="2520" w:type="dxa"/>
            <w:vAlign w:val="center"/>
            <w:tcMar>
              <w:top w:w="80" w:type="dxa"/>
              <w:start w:w="120" w:type="dxa"/>
              <w:bottom w:w="80" w:type="dxa"/>
              <w:end w:w="120" w:type="dxa"/>
            </w:tcMar>
          </w:tcPr>
          <w:p>
            <w:pPr>
              <w:spacing w:after="20" w:line="240" w:lineRule="auto"/>
            </w:pPr>
            <w:r>
              <w:rPr>
                <w:sz w:val="17"/>
              </w:rPr>
              <w:t>TW-CVII framework, national intactness maps, methods manuscript outline.</w:t>
            </w:r>
          </w:p>
        </w:tc>
      </w:tr>
      <w:tr w14:paraId="34E97D42">
        <w:trPr>
          <w:jc w:val="center"/>
          <w:cantSplit/>
        </w:trPr>
        <w:tc>
          <w:tcPr>
            <w:tcW w:w="1800" w:type="dxa"/>
            <w:vAlign w:val="center"/>
            <w:tcMar>
              <w:top w:w="80" w:type="dxa"/>
              <w:start w:w="120" w:type="dxa"/>
              <w:bottom w:w="80" w:type="dxa"/>
              <w:end w:w="120" w:type="dxa"/>
            </w:tcMar>
          </w:tcPr>
          <w:p>
            <w:pPr>
              <w:spacing w:after="20" w:line="240" w:lineRule="auto"/>
            </w:pPr>
            <w:r>
              <w:rPr>
                <w:sz w:val="17"/>
              </w:rPr>
              <w:t>WP4. Drivers and protected-area performance</w:t>
            </w:r>
          </w:p>
        </w:tc>
        <w:tc>
          <w:tcPr>
            <w:tcW w:w="3816" w:type="dxa"/>
            <w:vAlign w:val="center"/>
            <w:tcMar>
              <w:top w:w="80" w:type="dxa"/>
              <w:start w:w="120" w:type="dxa"/>
              <w:bottom w:w="80" w:type="dxa"/>
              <w:end w:w="120" w:type="dxa"/>
            </w:tcMar>
          </w:tcPr>
          <w:p>
            <w:pPr>
              <w:spacing w:after="20" w:line="240" w:lineRule="auto"/>
            </w:pPr>
            <w:r>
              <w:rPr>
                <w:sz w:val="17"/>
              </w:rPr>
              <w:t>Model drivers of intactness and silent-range risk, evaluate protected-area effectiveness using matching and hierarchical models.</w:t>
            </w:r>
          </w:p>
        </w:tc>
        <w:tc>
          <w:tcPr>
            <w:tcW w:w="1224" w:type="dxa"/>
            <w:vAlign w:val="center"/>
            <w:tcMar>
              <w:top w:w="80" w:type="dxa"/>
              <w:start w:w="120" w:type="dxa"/>
              <w:bottom w:w="80" w:type="dxa"/>
              <w:end w:w="120" w:type="dxa"/>
            </w:tcMar>
          </w:tcPr>
          <w:p>
            <w:pPr>
              <w:spacing w:after="20" w:line="240" w:lineRule="auto"/>
            </w:pPr>
            <w:r>
              <w:rPr>
                <w:sz w:val="17"/>
              </w:rPr>
              <w:t>Months 13-18</w:t>
            </w:r>
          </w:p>
        </w:tc>
        <w:tc>
          <w:tcPr>
            <w:tcW w:w="2520" w:type="dxa"/>
            <w:vAlign w:val="center"/>
            <w:tcMar>
              <w:top w:w="80" w:type="dxa"/>
              <w:start w:w="120" w:type="dxa"/>
              <w:bottom w:w="80" w:type="dxa"/>
              <w:end w:w="120" w:type="dxa"/>
            </w:tcMar>
          </w:tcPr>
          <w:p>
            <w:pPr>
              <w:spacing w:after="20" w:line="240" w:lineRule="auto"/>
            </w:pPr>
            <w:r>
              <w:rPr>
                <w:sz w:val="17"/>
              </w:rPr>
              <w:t>Driver models, protected-area performance assessment, hidden defaunation hotspot maps.</w:t>
            </w:r>
          </w:p>
        </w:tc>
      </w:tr>
      <w:tr>
        <w:trPr>
          <w:cantSplit/>
        </w:trPr>
        <w:tc>
          <w:tcPr>
            <w:tcW w:type="dxa" w:w="1800"/>
            <w:vAlign w:val="center"/>
            <w:tcMar>
              <w:top w:w="80" w:type="dxa"/>
              <w:start w:w="120" w:type="dxa"/>
              <w:bottom w:w="80" w:type="dxa"/>
              <w:end w:w="120" w:type="dxa"/>
            </w:tcMar>
          </w:tcPr>
          <w:p>
            <w:pPr>
              <w:spacing w:after="20" w:line="240" w:lineRule="auto"/>
            </w:pPr>
            <w:r>
              <w:rPr>
                <w:sz w:val="17"/>
              </w:rPr>
              <w:t>WP5. Synthesis, writing and dissemination</w:t>
            </w:r>
          </w:p>
        </w:tc>
        <w:tc>
          <w:tcPr>
            <w:tcW w:type="dxa" w:w="3816"/>
            <w:vAlign w:val="center"/>
            <w:tcMar>
              <w:top w:w="80" w:type="dxa"/>
              <w:start w:w="120" w:type="dxa"/>
              <w:bottom w:w="80" w:type="dxa"/>
              <w:end w:w="120" w:type="dxa"/>
            </w:tcMar>
          </w:tcPr>
          <w:p>
            <w:pPr>
              <w:spacing w:after="20" w:line="240" w:lineRule="auto"/>
            </w:pPr>
            <w:r>
              <w:rPr>
                <w:sz w:val="17"/>
              </w:rPr>
              <w:t>Use the frozen database and Zotero-backed manuscript workflow to prepare manuscripts, figures, code, derived datasets and policy synthesis.</w:t>
            </w:r>
          </w:p>
        </w:tc>
        <w:tc>
          <w:tcPr>
            <w:tcW w:type="dxa" w:w="1224"/>
            <w:vAlign w:val="center"/>
            <w:tcMar>
              <w:top w:w="80" w:type="dxa"/>
              <w:start w:w="120" w:type="dxa"/>
              <w:bottom w:w="80" w:type="dxa"/>
              <w:end w:w="120" w:type="dxa"/>
            </w:tcMar>
          </w:tcPr>
          <w:p>
            <w:pPr>
              <w:spacing w:after="20" w:line="240" w:lineRule="auto"/>
            </w:pPr>
            <w:r>
              <w:rPr>
                <w:sz w:val="17"/>
              </w:rPr>
              <w:t>Months 19-24</w:t>
            </w:r>
          </w:p>
        </w:tc>
        <w:tc>
          <w:tcPr>
            <w:tcW w:type="dxa" w:w="2520"/>
            <w:vAlign w:val="center"/>
            <w:tcMar>
              <w:top w:w="80" w:type="dxa"/>
              <w:start w:w="120" w:type="dxa"/>
              <w:bottom w:w="80" w:type="dxa"/>
              <w:end w:w="120" w:type="dxa"/>
            </w:tcMar>
          </w:tcPr>
          <w:p>
            <w:pPr>
              <w:spacing w:after="20" w:line="240" w:lineRule="auto"/>
            </w:pPr>
            <w:r>
              <w:rPr>
                <w:sz w:val="17"/>
              </w:rPr>
              <w:t>Manuscript drafts, reproducible workflow release, priority species and areas, policy brief.</w:t>
            </w:r>
          </w:p>
        </w:tc>
      </w:tr>
    </w:tbl>
    <w:p w14:paraId="3F63347C">
      <w:pPr>
        <w:pStyle w:val="3"/>
        <w:keepNext/>
        <w:spacing w:before="200" w:after="100"/>
        <w:rPr>
          <w:color w:val="auto"/>
        </w:rPr>
      </w:pPr>
      <w:r>
        <w:t>9. Expected Results</w:t>
      </w:r>
    </w:p>
    <w:p w14:paraId="70B18CB6">
      <w:pPr>
        <w:jc w:val="both"/>
        <w:rPr>
          <w:color w:val="auto"/>
        </w:rPr>
      </w:pPr>
      <w:r>
        <w:rPr>
          <w:color w:val="auto"/>
        </w:rPr>
        <w:t>The project will produce a national map of camera-trap-informed vertebrate intactness showing where historically expected assemblages remain supported by contemporary evidence and where current evidence is weak or absent. It is expected that unweighted species intactness will be higher than threat-weighted and functional intactness in many regions, because widespread generalists are likely to persist more consistently than threatened carnivores, large herbivores and ground-dwelling birds of high conservation concern.</w:t>
      </w:r>
    </w:p>
    <w:p w14:paraId="5FCE3B15">
      <w:pPr>
        <w:jc w:val="both"/>
        <w:rPr>
          <w:color w:val="auto"/>
        </w:rPr>
      </w:pPr>
      <w:r>
        <w:rPr>
          <w:color w:val="auto"/>
        </w:rPr>
        <w:t>The project will identify silent-range hotspots where historically expected species are not detected despite adequate survey effort, monitoring-gap hotspots where high-priority species lack adequate contemporary surveys, and newly confirmed occurrence hotspots where camera-trap evidence suggests new records, range shifts or historical under-recording. These maps will provide a direct basis for targeted monitoring and conservation prioritisation.</w:t>
      </w:r>
    </w:p>
    <w:p w14:paraId="429E549E">
      <w:pPr>
        <w:jc w:val="both"/>
        <w:rPr>
          <w:color w:val="auto"/>
        </w:rPr>
      </w:pPr>
      <w:r>
        <w:rPr>
          <w:color w:val="auto"/>
        </w:rPr>
        <w:t>The protected-area analysis is expected to show that protected areas improve persistence on average but do not guarantee threat-weighted or functional intactness. Some protected areas may have high habitat integrity or species richness but low representation of large carnivores, large herbivores or threatened species, indicating legacy defaunation or insufficient management. Conversely, some under-recognised landscapes may retain unexpectedly high threat-weighted intactness and deserve stronger protection or monitoring investment.</w:t>
      </w:r>
    </w:p>
    <w:p w14:paraId="0E58EAD7">
      <w:pPr>
        <w:jc w:val="both"/>
        <w:rPr>
          <w:color w:val="auto"/>
        </w:rPr>
      </w:pPr>
      <w:r>
        <w:rPr>
          <w:color w:val="auto"/>
        </w:rPr>
        <w:t>The Red List consistency analysis will identify species whose contemporary survey evidence is unexpectedly weak relative to formal risk status. This will include potential early-warning species currently classified as LC or NT but showing low confirmed persistence, as well as DD species whose historical ranges overlap poorly monitored regions. The results will support more targeted survey design and may provide evidence for future Red List reassessment.</w:t>
      </w:r>
    </w:p>
    <w:p w14:paraId="256DD283">
      <w:pPr>
        <w:pStyle w:val="3"/>
        <w:keepNext/>
        <w:spacing w:before="200" w:after="100"/>
        <w:rPr>
          <w:color w:val="auto"/>
        </w:rPr>
      </w:pPr>
      <w:r>
        <w:t>10. Innovation</w:t>
      </w:r>
    </w:p>
    <w:p w14:paraId="7F3F6DCE">
      <w:pPr>
        <w:jc w:val="both"/>
        <w:rPr>
          <w:color w:val="auto"/>
        </w:rPr>
      </w:pPr>
      <w:r>
        <w:rPr>
          <w:color w:val="auto"/>
        </w:rPr>
        <w:t>The first innovation is the shift from mapped occurrence to evidence-based persistence. Most conservation assessments ask whether a species range overlaps a protected area or whether suitable habitat remains. This project asks whether species historically expected in a spatial unit are currently supported by contemporary survey evidence.</w:t>
      </w:r>
    </w:p>
    <w:p w14:paraId="67305B87">
      <w:pPr>
        <w:jc w:val="both"/>
        <w:rPr>
          <w:color w:val="auto"/>
        </w:rPr>
      </w:pPr>
      <w:r>
        <w:rPr>
          <w:color w:val="auto"/>
        </w:rPr>
        <w:t>The second innovation is the explicit separation of silent ranges and monitoring gaps. This distinction avoids treating all non-detections as absences, while still identifying areas where adequate monitoring reveals a worrying lack of contemporary evidence.</w:t>
      </w:r>
    </w:p>
    <w:p w14:paraId="03D0CB92">
      <w:pPr>
        <w:jc w:val="both"/>
        <w:rPr>
          <w:color w:val="auto"/>
        </w:rPr>
      </w:pPr>
      <w:r>
        <w:rPr>
          <w:color w:val="auto"/>
        </w:rPr>
        <w:t>The third innovation is the development of a threat-weighted intactness metric that incorporates national Red List categories into community assessment. This makes the indicator more relevant to conservation prioritisation than unweighted richness or occurrence metrics.</w:t>
      </w:r>
    </w:p>
    <w:p w14:paraId="4C41E00B">
      <w:pPr>
        <w:jc w:val="both"/>
        <w:rPr>
          <w:color w:val="auto"/>
        </w:rPr>
      </w:pPr>
      <w:r>
        <w:rPr>
          <w:color w:val="auto"/>
        </w:rPr>
        <w:t>The fourth innovation is the integration of species, functional and abundance-proxy dimensions. This allows the project to detect communities that are nominally intact but functionally depleted, especially where large-bodied or trophically important species are missing.</w:t>
      </w:r>
    </w:p>
    <w:p w14:paraId="024F1A16">
      <w:pPr>
        <w:spacing w:after="120" w:line="259" w:lineRule="auto"/>
        <w:jc w:val="both"/>
        <w:rPr>
          <w:color w:val="auto"/>
        </w:rPr>
      </w:pPr>
      <w:r>
        <w:rPr>
          <w:rFonts w:ascii="Times New Roman" w:hAnsi="Times New Roman" w:eastAsia="Times New Roman"/>
          <w:sz w:val="22"/>
        </w:rPr>
        <w:t>The fifth innovation is the construction of a reproducible, Camtrap DP-aligned national evidence system. Unlike recent Chinese camera-trap syntheses focused on mammals within protected areas (He et al., 2026; Liu et al., 2025, 2026), TW-CVII covers all camera-trappable terrestrial vertebrates across protected and non-protected landscapes, propagates detection uncertainty into a Red List-weighted intactness metric, and is explicitly designed for periodic updating as new surveys, Red List reassessments and distribution records accumulate. The incremental contribution over existing range-contraction analyses is therefore (i) the unification of historical expectation, detection-corrected occupancy and conservation weighting into one site-level metric, and (ii) the explicit, falsifiable separation of silent ranges from monitoring gaps under quantitative effort thresholds.</w:t>
      </w:r>
    </w:p>
    <w:p>
      <w:pPr/>
      <w:r>
        <w:t>The sixth innovation is a fully auditable research-production workflow. By integrating Zotero, OneFind, AI-assisted extraction, versioned database construction, scripted analysis and citation-audited writing, the project turns literature-derived camera-trap evidence into a transparent, reusable and scalable infrastructure rather than a one-time manual spreadsheet.</w:t>
      </w:r>
    </w:p>
    <w:p w14:paraId="66C6EF69">
      <w:pPr>
        <w:pStyle w:val="3"/>
        <w:keepNext/>
        <w:spacing w:before="200" w:after="100"/>
        <w:rPr>
          <w:color w:val="auto"/>
        </w:rPr>
      </w:pPr>
      <w:r>
        <w:t>11. Feasibility, Challenges and Risk Management</w:t>
      </w:r>
    </w:p>
    <w:tbl>
      <w:tblPr>
        <w:tblStyle w:val="33"/>
        <w:tblW w:w="9360"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Ind w:w="120" w:type="dxa"/>
      </w:tblPr>
      <w:tblGrid>
        <w:gridCol w:w="4873"/>
        <w:gridCol w:w="4873"/>
      </w:tblGrid>
      <w:tr w14:paraId="1FDF6027">
        <w:trPr>
          <w:tblHeader w:val="true"/>
          <w:jc w:val="center"/>
          <w:cantSplit/>
        </w:trPr>
        <w:tc>
          <w:tcPr>
            <w:tcW w:w="3240" w:type="dxa"/>
            <w:shd w:val="clear" w:color="auto" w:fill="F4F6F9"/>
            <w:vAlign w:val="center"/>
            <w:tcMar>
              <w:top w:w="80" w:type="dxa"/>
              <w:start w:w="120" w:type="dxa"/>
              <w:bottom w:w="80" w:type="dxa"/>
              <w:end w:w="120" w:type="dxa"/>
            </w:tcMar>
          </w:tcPr>
          <w:p w14:paraId="60C3CCFD">
            <w:pPr>
              <w:pStyle w:val="164"/>
              <w:spacing w:before="0" w:after="40" w:line="240" w:lineRule="auto"/>
              <w:jc w:val="left"/>
              <w:rPr>
                <w:color w:val="auto"/>
              </w:rPr>
            </w:pPr>
            <w:r>
              <w:rPr>
                <w:rFonts w:ascii="Times New Roman" w:hAnsi="Times New Roman"/>
                <w:b/>
                <w:color w:val="auto"/>
                <w:sz w:val="18"/>
              </w:rPr>
              <w:t>Challenge</w:t>
            </w:r>
          </w:p>
        </w:tc>
        <w:tc>
          <w:tcPr>
            <w:tcW w:w="6120" w:type="dxa"/>
            <w:shd w:val="clear" w:color="auto" w:fill="F4F6F9"/>
            <w:vAlign w:val="center"/>
            <w:tcMar>
              <w:top w:w="80" w:type="dxa"/>
              <w:start w:w="120" w:type="dxa"/>
              <w:bottom w:w="80" w:type="dxa"/>
              <w:end w:w="120" w:type="dxa"/>
            </w:tcMar>
          </w:tcPr>
          <w:p w14:paraId="0C7698BA">
            <w:pPr>
              <w:pStyle w:val="164"/>
              <w:spacing w:before="0" w:after="40" w:line="240" w:lineRule="auto"/>
              <w:jc w:val="left"/>
              <w:rPr>
                <w:color w:val="auto"/>
              </w:rPr>
            </w:pPr>
            <w:r>
              <w:rPr>
                <w:rFonts w:ascii="Times New Roman" w:hAnsi="Times New Roman"/>
                <w:b/>
                <w:color w:val="auto"/>
                <w:sz w:val="18"/>
              </w:rPr>
              <w:t>Mitigation strategy</w:t>
            </w:r>
          </w:p>
        </w:tc>
      </w:tr>
      <w:tr w14:paraId="379A7D58">
        <w:trPr>
          <w:jc w:val="center"/>
          <w:cantSplit/>
        </w:trPr>
        <w:tc>
          <w:tcPr>
            <w:tcW w:w="3240" w:type="dxa"/>
            <w:vAlign w:val="center"/>
            <w:tcMar>
              <w:top w:w="80" w:type="dxa"/>
              <w:start w:w="120" w:type="dxa"/>
              <w:bottom w:w="80" w:type="dxa"/>
              <w:end w:w="120" w:type="dxa"/>
            </w:tcMar>
          </w:tcPr>
          <w:p w14:paraId="77D5BBA9">
            <w:pPr>
              <w:pStyle w:val="164"/>
              <w:spacing w:before="0" w:after="40" w:line="240" w:lineRule="auto"/>
              <w:jc w:val="left"/>
              <w:rPr>
                <w:color w:val="auto"/>
              </w:rPr>
            </w:pPr>
            <w:r>
              <w:rPr>
                <w:rFonts w:ascii="Times New Roman" w:hAnsi="Times New Roman"/>
                <w:b w:val="0"/>
                <w:color w:val="auto"/>
                <w:sz w:val="18"/>
              </w:rPr>
              <w:t>Camera traps do not sample all vertebrates equally.</w:t>
            </w:r>
          </w:p>
        </w:tc>
        <w:tc>
          <w:tcPr>
            <w:tcW w:w="6120" w:type="dxa"/>
            <w:vAlign w:val="center"/>
            <w:tcMar>
              <w:top w:w="80" w:type="dxa"/>
              <w:start w:w="120" w:type="dxa"/>
              <w:bottom w:w="80" w:type="dxa"/>
              <w:end w:w="120" w:type="dxa"/>
            </w:tcMar>
          </w:tcPr>
          <w:p w14:paraId="1763FF5E">
            <w:pPr>
              <w:pStyle w:val="164"/>
              <w:spacing w:before="0" w:after="40" w:line="240" w:lineRule="auto"/>
              <w:jc w:val="left"/>
              <w:rPr>
                <w:color w:val="auto"/>
              </w:rPr>
            </w:pPr>
            <w:r>
              <w:rPr>
                <w:rFonts w:ascii="Times New Roman" w:hAnsi="Times New Roman"/>
                <w:b w:val="0"/>
                <w:color w:val="auto"/>
                <w:sz w:val="18"/>
              </w:rPr>
              <w:t>The main inference will be restricted to camera-trappable terrestrial vertebrates, with mammals and ground-dwelling birds analysed explicitly. Complementary surveys will be used for poorly detected groups, and taxon-specific limitations will be stated clearly.</w:t>
            </w:r>
          </w:p>
        </w:tc>
      </w:tr>
      <w:tr w14:paraId="02428761">
        <w:trPr>
          <w:jc w:val="center"/>
          <w:cantSplit/>
        </w:trPr>
        <w:tc>
          <w:tcPr>
            <w:tcW w:w="3240" w:type="dxa"/>
            <w:vAlign w:val="center"/>
            <w:tcMar>
              <w:top w:w="80" w:type="dxa"/>
              <w:start w:w="120" w:type="dxa"/>
              <w:bottom w:w="80" w:type="dxa"/>
              <w:end w:w="120" w:type="dxa"/>
            </w:tcMar>
          </w:tcPr>
          <w:p w14:paraId="21F67549">
            <w:pPr>
              <w:pStyle w:val="164"/>
              <w:spacing w:before="0" w:after="40" w:line="240" w:lineRule="auto"/>
              <w:jc w:val="left"/>
              <w:rPr>
                <w:color w:val="auto"/>
              </w:rPr>
            </w:pPr>
            <w:r>
              <w:rPr>
                <w:rFonts w:ascii="Times New Roman" w:hAnsi="Times New Roman"/>
                <w:b w:val="0"/>
                <w:color w:val="auto"/>
                <w:sz w:val="18"/>
              </w:rPr>
              <w:t>Non-detection does not prove absence.</w:t>
            </w:r>
          </w:p>
        </w:tc>
        <w:tc>
          <w:tcPr>
            <w:tcW w:w="6120" w:type="dxa"/>
            <w:vAlign w:val="center"/>
            <w:tcMar>
              <w:top w:w="80" w:type="dxa"/>
              <w:start w:w="120" w:type="dxa"/>
              <w:bottom w:w="80" w:type="dxa"/>
              <w:end w:w="120" w:type="dxa"/>
            </w:tcMar>
          </w:tcPr>
          <w:p w14:paraId="69A4FF4A">
            <w:pPr>
              <w:pStyle w:val="164"/>
              <w:spacing w:before="0" w:after="40" w:line="240" w:lineRule="auto"/>
              <w:jc w:val="left"/>
              <w:rPr>
                <w:color w:val="auto"/>
              </w:rPr>
            </w:pPr>
            <w:r>
              <w:rPr>
                <w:rFonts w:ascii="Times New Roman" w:hAnsi="Times New Roman"/>
                <w:b w:val="0"/>
                <w:color w:val="auto"/>
                <w:sz w:val="18"/>
              </w:rPr>
              <w:t>Occupancy models, survey adequacy thresholds and sensitivity analyses will be used. Silent range will be interpreted as possible local loss or severe depletion under adequate survey effort, not as definitive absence unless independently supported.</w:t>
            </w:r>
          </w:p>
        </w:tc>
      </w:tr>
      <w:tr w14:paraId="436689F1">
        <w:trPr>
          <w:jc w:val="center"/>
          <w:cantSplit/>
        </w:trPr>
        <w:tc>
          <w:tcPr>
            <w:tcW w:w="3240" w:type="dxa"/>
            <w:vAlign w:val="center"/>
            <w:tcMar>
              <w:top w:w="80" w:type="dxa"/>
              <w:start w:w="120" w:type="dxa"/>
              <w:bottom w:w="80" w:type="dxa"/>
              <w:end w:w="120" w:type="dxa"/>
            </w:tcMar>
          </w:tcPr>
          <w:p w14:paraId="3FDF2F66">
            <w:pPr>
              <w:pStyle w:val="164"/>
              <w:spacing w:before="0" w:after="40" w:line="240" w:lineRule="auto"/>
              <w:jc w:val="left"/>
              <w:rPr>
                <w:color w:val="auto"/>
              </w:rPr>
            </w:pPr>
            <w:r>
              <w:rPr>
                <w:rFonts w:ascii="Times New Roman" w:hAnsi="Times New Roman"/>
                <w:b w:val="0"/>
                <w:color w:val="auto"/>
                <w:sz w:val="18"/>
              </w:rPr>
              <w:t>Historical baselines may be uncertain.</w:t>
            </w:r>
          </w:p>
        </w:tc>
        <w:tc>
          <w:tcPr>
            <w:tcW w:w="6120" w:type="dxa"/>
            <w:vAlign w:val="center"/>
            <w:tcMar>
              <w:top w:w="80" w:type="dxa"/>
              <w:start w:w="120" w:type="dxa"/>
              <w:bottom w:w="80" w:type="dxa"/>
              <w:end w:w="120" w:type="dxa"/>
            </w:tcMar>
          </w:tcPr>
          <w:p w14:paraId="47917B8F">
            <w:pPr>
              <w:pStyle w:val="164"/>
              <w:spacing w:before="0" w:after="40" w:line="240" w:lineRule="auto"/>
              <w:jc w:val="left"/>
              <w:rPr>
                <w:color w:val="auto"/>
              </w:rPr>
            </w:pPr>
            <w:r>
              <w:rPr>
                <w:rFonts w:ascii="Times New Roman" w:hAnsi="Times New Roman"/>
                <w:b w:val="0"/>
                <w:color w:val="auto"/>
                <w:sz w:val="18"/>
              </w:rPr>
              <w:t>Conservative, intermediate and broad baselines will be constructed. Main results will focus on patterns robust across baseline scenarios, and uncertain historical records will be flagged rather than treated as equally reliable.</w:t>
            </w:r>
          </w:p>
        </w:tc>
      </w:tr>
      <w:tr w14:paraId="6C3343D4">
        <w:trPr>
          <w:jc w:val="center"/>
          <w:cantSplit/>
        </w:trPr>
        <w:tc>
          <w:tcPr>
            <w:tcW w:w="3240" w:type="dxa"/>
            <w:vAlign w:val="center"/>
            <w:tcMar>
              <w:top w:w="80" w:type="dxa"/>
              <w:start w:w="120" w:type="dxa"/>
              <w:bottom w:w="80" w:type="dxa"/>
              <w:end w:w="120" w:type="dxa"/>
            </w:tcMar>
          </w:tcPr>
          <w:p w14:paraId="668A6499">
            <w:pPr>
              <w:pStyle w:val="164"/>
              <w:spacing w:before="0" w:after="40" w:line="240" w:lineRule="auto"/>
              <w:jc w:val="left"/>
              <w:rPr>
                <w:color w:val="auto"/>
              </w:rPr>
            </w:pPr>
            <w:r>
              <w:rPr>
                <w:rFonts w:ascii="Times New Roman" w:hAnsi="Times New Roman"/>
                <w:b w:val="0"/>
                <w:color w:val="auto"/>
                <w:sz w:val="18"/>
              </w:rPr>
              <w:t>Survey designs are heterogeneous.</w:t>
            </w:r>
          </w:p>
        </w:tc>
        <w:tc>
          <w:tcPr>
            <w:tcW w:w="6120" w:type="dxa"/>
            <w:vAlign w:val="center"/>
            <w:tcMar>
              <w:top w:w="80" w:type="dxa"/>
              <w:start w:w="120" w:type="dxa"/>
              <w:bottom w:w="80" w:type="dxa"/>
              <w:end w:w="120" w:type="dxa"/>
            </w:tcMar>
          </w:tcPr>
          <w:p w14:paraId="412AB7B7">
            <w:pPr>
              <w:pStyle w:val="164"/>
              <w:spacing w:before="0" w:after="40" w:line="240" w:lineRule="auto"/>
              <w:jc w:val="left"/>
              <w:rPr>
                <w:color w:val="auto"/>
              </w:rPr>
            </w:pPr>
            <w:r>
              <w:rPr>
                <w:rFonts w:ascii="Times New Roman" w:hAnsi="Times New Roman"/>
                <w:b w:val="0"/>
                <w:color w:val="auto"/>
                <w:sz w:val="18"/>
              </w:rPr>
              <w:t>Effort covariates, study-level random effects, taxonomic subsets and comparable-survey sensitivity analyses will be used to reduce bias from methodological variation.</w:t>
            </w:r>
          </w:p>
        </w:tc>
      </w:tr>
      <w:tr w14:paraId="729DA2CF">
        <w:trPr>
          <w:jc w:val="center"/>
          <w:cantSplit/>
        </w:trPr>
        <w:tc>
          <w:tcPr>
            <w:tcW w:w="3240" w:type="dxa"/>
            <w:vAlign w:val="center"/>
            <w:tcMar>
              <w:top w:w="80" w:type="dxa"/>
              <w:start w:w="120" w:type="dxa"/>
              <w:bottom w:w="80" w:type="dxa"/>
              <w:end w:w="120" w:type="dxa"/>
            </w:tcMar>
          </w:tcPr>
          <w:p w14:paraId="10362D99">
            <w:pPr>
              <w:pStyle w:val="164"/>
              <w:spacing w:before="0" w:after="40" w:line="240" w:lineRule="auto"/>
              <w:jc w:val="left"/>
              <w:rPr>
                <w:color w:val="auto"/>
              </w:rPr>
            </w:pPr>
            <w:r>
              <w:rPr>
                <w:rFonts w:ascii="Times New Roman" w:hAnsi="Times New Roman"/>
                <w:b w:val="0"/>
                <w:color w:val="auto"/>
                <w:sz w:val="18"/>
              </w:rPr>
              <w:t>RAI is not true abundance.</w:t>
            </w:r>
          </w:p>
        </w:tc>
        <w:tc>
          <w:tcPr>
            <w:tcW w:w="6120" w:type="dxa"/>
            <w:vAlign w:val="center"/>
            <w:tcMar>
              <w:top w:w="80" w:type="dxa"/>
              <w:start w:w="120" w:type="dxa"/>
              <w:bottom w:w="80" w:type="dxa"/>
              <w:end w:w="120" w:type="dxa"/>
            </w:tcMar>
          </w:tcPr>
          <w:p w14:paraId="65A1BEFF">
            <w:pPr>
              <w:pStyle w:val="164"/>
              <w:spacing w:before="0" w:after="40" w:line="240" w:lineRule="auto"/>
              <w:jc w:val="left"/>
              <w:rPr>
                <w:color w:val="auto"/>
              </w:rPr>
            </w:pPr>
            <w:r>
              <w:rPr>
                <w:rFonts w:ascii="Times New Roman" w:hAnsi="Times New Roman"/>
                <w:b w:val="0"/>
                <w:color w:val="auto"/>
                <w:sz w:val="18"/>
              </w:rPr>
              <w:t>RAI will be treated as an abundance or activity proxy only. Occupancy and detection-corrected metrics will be primary, while abundance-proxy intactness will be interpreted cautiously.</w:t>
            </w:r>
          </w:p>
        </w:tc>
      </w:tr>
      <w:tr w14:paraId="0B7CC135">
        <w:trPr>
          <w:jc w:val="center"/>
          <w:cantSplit/>
        </w:trPr>
        <w:tc>
          <w:tcPr>
            <w:tcW w:w="3240" w:type="dxa"/>
            <w:vAlign w:val="center"/>
            <w:tcMar>
              <w:top w:w="80" w:type="dxa"/>
              <w:start w:w="120" w:type="dxa"/>
              <w:bottom w:w="80" w:type="dxa"/>
              <w:end w:w="120" w:type="dxa"/>
            </w:tcMar>
          </w:tcPr>
          <w:p w14:paraId="3F18F374">
            <w:pPr>
              <w:pStyle w:val="164"/>
              <w:spacing w:before="0" w:after="40" w:line="240" w:lineRule="auto"/>
              <w:jc w:val="left"/>
              <w:rPr>
                <w:color w:val="auto"/>
              </w:rPr>
            </w:pPr>
            <w:r>
              <w:rPr>
                <w:rFonts w:ascii="Times New Roman" w:hAnsi="Times New Roman"/>
                <w:b w:val="0"/>
                <w:color w:val="auto"/>
                <w:sz w:val="18"/>
              </w:rPr>
              <w:t>Threat weighting involves normative choices.</w:t>
            </w:r>
          </w:p>
        </w:tc>
        <w:tc>
          <w:tcPr>
            <w:tcW w:w="6120" w:type="dxa"/>
            <w:vAlign w:val="center"/>
            <w:tcMar>
              <w:top w:w="80" w:type="dxa"/>
              <w:start w:w="120" w:type="dxa"/>
              <w:bottom w:w="80" w:type="dxa"/>
              <w:end w:w="120" w:type="dxa"/>
            </w:tcMar>
          </w:tcPr>
          <w:p w14:paraId="233414A4">
            <w:pPr>
              <w:pStyle w:val="164"/>
              <w:spacing w:before="0" w:after="40" w:line="240" w:lineRule="auto"/>
              <w:jc w:val="left"/>
              <w:rPr>
                <w:color w:val="auto"/>
              </w:rPr>
            </w:pPr>
            <w:r>
              <w:rPr>
                <w:rFonts w:ascii="Times New Roman" w:hAnsi="Times New Roman"/>
                <w:b w:val="0"/>
                <w:color w:val="auto"/>
                <w:sz w:val="18"/>
              </w:rPr>
              <w:t>Alternative Red List weighting schemes will be tested, and DD species will be analysed as a separate uncertainty layer rather than assigned a simple low-risk value.</w:t>
            </w:r>
          </w:p>
        </w:tc>
      </w:tr>
      <w:tr>
        <w:trPr>
          <w:cantSplit/>
        </w:trPr>
        <w:tc>
          <w:tcPr>
            <w:tcW w:type="dxa" w:w="3240"/>
            <w:vAlign w:val="center"/>
            <w:tcMar>
              <w:top w:w="80" w:type="dxa"/>
              <w:start w:w="120" w:type="dxa"/>
              <w:bottom w:w="80" w:type="dxa"/>
              <w:end w:w="120" w:type="dxa"/>
            </w:tcMar>
          </w:tcPr>
          <w:p>
            <w:pPr>
              <w:spacing w:after="40"/>
            </w:pPr>
            <w:r>
              <w:rPr>
                <w:sz w:val="18"/>
              </w:rPr>
              <w:t>AI extraction and literature-download workflows may introduce hidden errors or compliance risks.</w:t>
            </w:r>
          </w:p>
        </w:tc>
        <w:tc>
          <w:tcPr>
            <w:tcW w:type="dxa" w:w="6120"/>
            <w:vAlign w:val="center"/>
            <w:tcMar>
              <w:top w:w="80" w:type="dxa"/>
              <w:start w:w="120" w:type="dxa"/>
              <w:bottom w:w="80" w:type="dxa"/>
              <w:end w:w="120" w:type="dxa"/>
            </w:tcMar>
          </w:tcPr>
          <w:p>
            <w:pPr>
              <w:spacing w:after="40"/>
            </w:pPr>
            <w:r>
              <w:rPr>
                <w:sz w:val="18"/>
              </w:rPr>
              <w:t>AI output will be treated as provisional extraction, not accepted data. Legal-use status, file provenance, page references, human verification, citation audits and database validation will be mandatory before analysis or manuscript use.</w:t>
            </w:r>
          </w:p>
        </w:tc>
      </w:tr>
    </w:tbl>
    <w:p w14:paraId="0F5551AA">
      <w:pPr>
        <w:keepNext/>
        <w:spacing w:after="80"/>
        <w:jc w:val="center"/>
        <w:rPr>
          <w:color w:val="auto"/>
        </w:rPr>
      </w:pPr>
      <w:r>
        <w:rPr>
          <w:i/>
          <w:color w:val="auto"/>
          <w:sz w:val="18"/>
        </w:rPr>
        <w:t>Table 4. Main risks and mitigation strategies.</w:t>
      </w:r>
    </w:p>
    <w:p w14:paraId="672EAC9C">
      <w:pPr>
        <w:pStyle w:val="3"/>
        <w:keepNext/>
        <w:spacing w:before="200" w:after="100"/>
        <w:rPr>
          <w:color w:val="auto"/>
        </w:rPr>
      </w:pPr>
      <w:r>
        <w:t>12. Expected Outputs and Deliverables</w:t>
      </w:r>
    </w:p>
    <w:p w14:paraId="41E23DEA">
      <w:pPr>
        <w:spacing w:after="120" w:line="259" w:lineRule="auto"/>
        <w:jc w:val="both"/>
        <w:rPr>
          <w:color w:val="auto"/>
        </w:rPr>
      </w:pPr>
      <w:r>
        <w:t>The project will deliver a harmonised national database and a reproducible workflow infrastructure. The database will integrate camera-trap records, complementary ecological survey evidence, historical vertebrate distributions, Red List categories, functional traits and environmental covariates. The workflow will include a documented literature search log, a Zotero project library, an indexed OneFind knowledge base where configured, an authorised full-text manifest, AI-assisted but human-verified extraction tables, a data dictionary, validation scripts, database releases, analysis code, national maps of species, detection-corrected, threat-weighted and functional intactness, classification maps of confirmed persistence, silent ranges, monitoring gaps and newly confirmed occurrences, a protected-area performance assessment, a priority list of species for monitoring or reassessment, open code with metadata for derived datasets, and claim-audited manuscript drafts.</w:t>
      </w:r>
    </w:p>
    <w:p w14:paraId="712F6E47">
      <w:pPr>
        <w:jc w:val="both"/>
        <w:rPr>
          <w:color w:val="auto"/>
        </w:rPr>
      </w:pPr>
      <w:r>
        <w:rPr>
          <w:color w:val="auto"/>
        </w:rPr>
        <w:t xml:space="preserve">The project is expected to generate at least four manuscripts. The first will introduce the threat-weighted camera-trap vertebrate intactness framework for China. The second will focus on silent ranges and hidden defaunation revealed by historical distributions and contemporary survey evidence. The third will evaluate whether protected areas retain threatened and functionally important vertebrate assemblages. The fourth will assess Red List consistency and identify overlooked monitoring priorities. </w:t>
      </w:r>
      <w:r>
        <w:rPr>
          <w:color w:val="auto"/>
        </w:rPr>
        <w:t>Target journals for the four manuscripts include, in order of fit: Diversity and Distributions and Conservation Letters for the methodological framework paper; Global Ecology and Biogeography, Biological Conservation and Ecography for the silent-range, protected-area and Red List consistency papers; Nature Sustainability will be considered as a stretch target only if a clearly global policy contribution can be demonstrated.</w:t>
      </w:r>
    </w:p>
    <w:p w14:paraId="1D8FEC3D">
      <w:pPr>
        <w:pStyle w:val="3"/>
        <w:keepNext/>
        <w:spacing w:before="200" w:after="100"/>
        <w:rPr>
          <w:color w:val="auto"/>
        </w:rPr>
      </w:pPr>
      <w:r>
        <w:t>13. Broader Significance and Policy Relevance</w:t>
      </w:r>
    </w:p>
    <w:p w14:paraId="045E6C30">
      <w:pPr>
        <w:jc w:val="both"/>
        <w:rPr>
          <w:color w:val="auto"/>
        </w:rPr>
      </w:pPr>
      <w:r>
        <w:rPr>
          <w:color w:val="auto"/>
        </w:rPr>
        <w:t>Scientifically, the project will advance biodiversity intactness research by linking BII-inspired thinking with direct field evidence, historical distribution baselines, detection modelling and threat-weighted community assessment. It will connect community ecology, conservation biogeography, camera-trap ecology, Red List science and protected-area evaluation in a single framework.</w:t>
      </w:r>
    </w:p>
    <w:p w14:paraId="664C66AA">
      <w:pPr>
        <w:jc w:val="both"/>
        <w:rPr>
          <w:color w:val="auto"/>
        </w:rPr>
      </w:pPr>
      <w:r>
        <w:rPr>
          <w:color w:val="auto"/>
        </w:rPr>
        <w:t>Practically, the project will identify where monitoring should be intensified, where protected-area management should focus on species recovery rather than only habitat maintenance, where threatened or functionally important species may have silently disappeared, and where newly confirmed occurrences suggest range shifts or previously overlooked populations. These outputs are directly relevant to national biodiversity monitoring, national park planning, ecological conservation redline evaluation, protected-area management, restoration prioritisation, Red List updating and implementation of the post-2020 Global Biodiversity Framework.</w:t>
      </w:r>
      <w:r>
        <w:rPr>
          <w:color w:val="auto"/>
        </w:rPr>
        <w:t xml:space="preserve"> Operationally, the project commits to delivering: (i) a policy brief to the National Forestry and Grassland Administration and Ministry of Ecology and Environment; (ii) </w:t>
      </w:r>
      <w:bookmarkStart w:id="0" w:name="_GoBack"/>
      <w:bookmarkEnd w:id="0"/>
      <w:r>
        <w:rPr>
          <w:rFonts w:hint="eastAsia" w:eastAsia="宋体"/>
          <w:color w:val="auto"/>
          <w:lang w:val="en-US" w:eastAsia="zh-CN"/>
        </w:rPr>
        <w:t>some</w:t>
      </w:r>
      <w:r>
        <w:rPr>
          <w:color w:val="auto"/>
        </w:rPr>
        <w:t xml:space="preserve"> candidate species recommended for Red List reassessment based on mismatches between formal category and contemporary evidence; (iii) a ranked list of ≥ 10 protected areas requiring active recovery interventions; and (iv) a national monitoring-gap map with priority survey investment recommendations.</w:t>
      </w:r>
    </w:p>
    <w:p w14:paraId="1BDE85AA">
      <w:pPr>
        <w:jc w:val="both"/>
        <w:rPr>
          <w:color w:val="auto"/>
        </w:rPr>
      </w:pPr>
      <w:r>
        <w:rPr>
          <w:color w:val="auto"/>
        </w:rPr>
        <w:t>The central contribution is to make vertebrate intactness measurable as evidence-based persistence rather than assumed occurrence. This shift is essential for detecting hidden defaunation in landscapes where species may remain on maps but no longer occur as viable or functionally meaningful populations.</w:t>
      </w:r>
    </w:p>
    <w:p w14:paraId="3E458430">
      <w:pPr>
        <w:pStyle w:val="3"/>
        <w:keepNext/>
        <w:pageBreakBefore/>
        <w:spacing w:before="200" w:after="100"/>
        <w:rPr>
          <w:color w:val="auto"/>
        </w:rPr>
      </w:pPr>
      <w:r>
        <w:rPr>
          <w:color w:val="auto"/>
        </w:rPr>
        <w:t>References</w:t>
      </w:r>
    </w:p>
    <w:p>
      <w:pPr>
        <w:pStyle w:val="165"/>
      </w:pPr>
      <w:r>
        <w:t>Baselga, A. (2010). Partitioning the turnover and nestedness components of beta diversity. Global Ecology and Biogeography, 19, 134–143.</w:t>
      </w:r>
    </w:p>
    <w:p>
      <w:pPr>
        <w:pStyle w:val="165"/>
      </w:pPr>
      <w:r>
        <w:t>Benítez-López, A., Alkemade, R., Schipper, A. M., Ingram, D. J., Verweij, P. A., Eikelboom, J. A. J., &amp; Huijbregts, M. A. J. (2017). The impact of hunting on tropical mammal and bird populations. Science, 356, 180–183.</w:t>
      </w:r>
    </w:p>
    <w:p>
      <w:pPr>
        <w:pStyle w:val="165"/>
      </w:pPr>
      <w:r>
        <w:t>Better BibTeX. (2026). Automatic export. https://retorque.re/zotero-better-bibtex/exporting/auto/</w:t>
      </w:r>
    </w:p>
    <w:p>
      <w:pPr>
        <w:pStyle w:val="165"/>
      </w:pPr>
      <w:r>
        <w:t>Brooks, T. M., Mittermeier, R. A., da Fonseca, G. A. B., Gerlach, J., Hoffmann, M., Lamoreux, J. F., Mittermeier, C. G., Pilgrim, J. D., &amp; Rodrigues, A. S. L. (2006). Global biodiversity conservation priorities. Science, 313, 58–61.</w:t>
      </w:r>
    </w:p>
    <w:p>
      <w:pPr>
        <w:pStyle w:val="165"/>
      </w:pPr>
      <w:r>
        <w:t>Bubnicki, J. W., Churski, M., Kuijper, D. P. J., et al. (2024). Camtrap DP: an open standard for the FAIR exchange and archiving of camera trap data. Remote Sensing in Ecology and Conservation, 10, 791–802.</w:t>
      </w:r>
    </w:p>
    <w:p>
      <w:pPr>
        <w:pStyle w:val="165"/>
      </w:pPr>
      <w:r>
        <w:t>Burton, A. C., Neilson, E., Moreira, D., Ladle, A., Steenweg, R., Fisher, J. T., Bayne, E., &amp; Boutin, S. (2015). Wildlife camera trapping: a review and recommendations for linking surveys to ecological processes. Journal of Applied Ecology, 52, 675–685.</w:t>
      </w:r>
    </w:p>
    <w:p>
      <w:pPr>
        <w:pStyle w:val="165"/>
      </w:pPr>
      <w:r>
        <w:t>Cazalis, V., Barnes, M. D., Bode, M., et al. (2020). Effectiveness of protected areas in conserving tropical forest birds. Nature Communications, 11, 4461.</w:t>
      </w:r>
    </w:p>
    <w:p>
      <w:pPr>
        <w:pStyle w:val="165"/>
      </w:pPr>
      <w:r>
        <w:t>Ceballos, G., Ehrlich, P. R., &amp; Dirzo, R. (2017). Biological annihilation via the ongoing sixth mass extinction signalled by vertebrate population losses and declines. Proceedings of the National Academy of Sciences USA, 114, E6089–E6096.</w:t>
      </w:r>
    </w:p>
    <w:p>
      <w:pPr>
        <w:pStyle w:val="165"/>
      </w:pPr>
      <w:r>
        <w:t>Chen, C., Brodie, J. F., Kays, R., Davies, T. J., Liu, R., Fisher, J. T., Ahumada, J., McShea, W., Sheil, D., Agwanda, B., Andrianarisoa, M. H., Appleton, R. D., Bitariho, R., Espinosa, S., Grigione, M. M., Helgen, K. M., Hubbard, A., Hurtado, C. M., Jansen, P. A., et al. (2022). Global camera trap synthesis highlights the importance of protected areas in maintaining mammal diversity. Conservation Letters, 15, e12865. https://doi.org/10.1111/conl.12865</w:t>
      </w:r>
    </w:p>
    <w:p>
      <w:pPr>
        <w:pStyle w:val="165"/>
      </w:pPr>
      <w:r>
        <w:t>Convention on Biological Diversity. (2022). Kunming-Montreal Global Biodiversity Framework. CBD/COP/15/L.25.</w:t>
      </w:r>
    </w:p>
    <w:p>
      <w:pPr>
        <w:pStyle w:val="165"/>
      </w:pPr>
      <w:r>
        <w:t>De Palma, A., Hoskins, A. J., Gonzalez, R. E., Börger, L., Newbold, T., Sanchez-Ortiz, K., Ferrier, S., &amp; Purvis, A. (2021). Annual changes in the Biodiversity Intactness Index in tropical and subtropical forest biomes, 2001–2012. Scientific Reports, 11, 20249.</w:t>
      </w:r>
    </w:p>
    <w:p>
      <w:pPr>
        <w:pStyle w:val="165"/>
      </w:pPr>
      <w:r>
        <w:t>Dirzo, R., Young, H. S., Galetti, M., Ceballos, G., Isaac, N. J. B., &amp; Collen, B. (2014). Defaunation in the Anthropocene. Science, 345, 401–406.</w:t>
      </w:r>
    </w:p>
    <w:p>
      <w:pPr>
        <w:pStyle w:val="165"/>
      </w:pPr>
      <w:r>
        <w:t>Díaz, S., Settele, J., Brondízio, E. S., Ngo, H. T., Agard, J., Arneth, A., Balvanera, P., Brauman, K. A., Butchart, S. H. M., Chan, K. M. A., et al. (2019). Pervasive human-driven decline of life on Earth points to the need for transformative change. Science, 366, eaax3100.</w:t>
      </w:r>
    </w:p>
    <w:p>
      <w:pPr>
        <w:pStyle w:val="165"/>
      </w:pPr>
      <w:r>
        <w:t>Estes, J. A., Terborgh, J., Brashares, J. S., Power, M. E., Berger, J., Bond, W. J., Carpenter, S. R., Essington, T. E., Holt, R. D., Jackson, J. B. C., et al. (2011). Trophic downgrading of planet Earth. Science, 333, 301–306.</w:t>
      </w:r>
    </w:p>
    <w:p>
      <w:pPr>
        <w:pStyle w:val="165"/>
      </w:pPr>
      <w:r>
        <w:t>Forrester, T., O’Brien, T., Fegraus, E., Jansen, P. A., Palmer, J., Kays, R., Ahumada, J., Stern, B., &amp; McShea, W. (2016). An open standard for camera trap data. Biodiversity Data Journal, 4, e10197.</w:t>
      </w:r>
    </w:p>
    <w:p>
      <w:pPr>
        <w:pStyle w:val="165"/>
      </w:pPr>
      <w:r>
        <w:t>Geldmann, J., Manica, A., Burgess, N. D., Coad, L., &amp; Balmford, A. (2019). A global-level assessment of the effectiveness of protected areas at resisting anthropogenic pressures. Proceedings of the National Academy of Sciences USA, 116, 23209–23215.</w:t>
      </w:r>
    </w:p>
    <w:p>
      <w:pPr>
        <w:pStyle w:val="165"/>
      </w:pPr>
      <w:r>
        <w:t>Gray, C. L., Hill, S. L. L., Newbold, T., Hudson, L. N., Börger, L., Contu, S., Hoskins, A. J., Ferrier, S., Purvis, A., &amp; Scharlemann, J. P. W. (2016). Local biodiversity is higher inside than outside terrestrial protected areas worldwide. Nature Communications, 7, 12306.</w:t>
      </w:r>
    </w:p>
    <w:p>
      <w:pPr>
        <w:pStyle w:val="165"/>
      </w:pPr>
      <w:r>
        <w:t>He, J., Zhang, L., Yu, J., Liu, J., et al. (2026). Widespread range contraction of carnivores in protected areas of China. Nature Sustainability. https://doi.org/10.1038/s41893-026-01855-2</w:t>
      </w:r>
    </w:p>
    <w:p>
      <w:pPr>
        <w:pStyle w:val="165"/>
      </w:pPr>
      <w:r>
        <w:t>Hill, S. L. L., Arnell, A., Maney, C., Butchart, S. H. M., Hilton-Taylor, C., Ciciarelli, C., Davis, C., Dinerstein, E., Purvis, A., &amp; Burgess, N. D. (2019). Measuring forest biodiversity status and changes globally. Frontiers in Forests and Global Change, 2, 70.</w:t>
      </w:r>
    </w:p>
    <w:p>
      <w:pPr>
        <w:pStyle w:val="165"/>
      </w:pPr>
      <w:r>
        <w:t>Hudson, L. N., Newbold, T., Contu, S., Hill, S. L. L., Lysenko, I., De Palma, A., Phillips, H. R. P., Senior, R. A., Bennett, D. J., Booth, H., et al. (2017). The database of the PREDICTS project: Projecting Responses of Ecological Diversity In Changing Terrestrial Systems. Ecology and Evolution, 7, 145–188.</w:t>
      </w:r>
    </w:p>
    <w:p>
      <w:pPr>
        <w:pStyle w:val="165"/>
      </w:pPr>
      <w:r>
        <w:t>IPBES. (2019). Global Assessment Report on Biodiversity and Ecosystem Services. IPBES Secretariat.</w:t>
      </w:r>
    </w:p>
    <w:p>
      <w:pPr>
        <w:pStyle w:val="165"/>
      </w:pPr>
      <w:r>
        <w:t>IUCN. (2012). IUCN Red List Categories and Criteria: Version 3.1. Second edition. IUCN.</w:t>
      </w:r>
    </w:p>
    <w:p>
      <w:pPr>
        <w:pStyle w:val="165"/>
      </w:pPr>
      <w:r>
        <w:t>Jaureguiberry, P., Titeux, N., Wiemers, M., Bowler, D. E., Coscieme, L., Golden, A. S., Guerra, C. A., Jacob, U., Takahashi, Y., Settele, J., Díaz, S., Molnár, Z., &amp; Purvis, A. (2022). The direct drivers of recent global anthropogenic biodiversity loss. Science Advances, 8, eabm9982.</w:t>
      </w:r>
    </w:p>
    <w:p>
      <w:pPr>
        <w:pStyle w:val="165"/>
      </w:pPr>
      <w:r>
        <w:t>Jiang, Z., Jiang, J., Wang, Y., Zhang, E., Zhang, Y., Li, L., Xie, F., Cai, B., Cao, L., Zheng, G., et al. (2016). Red List of China’s vertebrates. Biodiversity Science, 24, 500–551.</w:t>
      </w:r>
    </w:p>
    <w:p>
      <w:pPr>
        <w:pStyle w:val="165"/>
      </w:pPr>
      <w:r>
        <w:t>Jones, K. E., Bielby, J., Cardillo, M., Fritz, S. A., O’Dell, J., Orme, C. D. L., Safi, K., Sechrest, W., Boakes, E. H., Carbone, C., et al. (2009). PanTHERIA: A species-level database of life history, ecology, and geography of extant and recently extinct mammals. Ecology, 90, 2648.</w:t>
      </w:r>
    </w:p>
    <w:p>
      <w:pPr>
        <w:pStyle w:val="165"/>
      </w:pPr>
      <w:r>
        <w:t>Karanth, K. U., &amp; Nichols, J. D. (1998). Estimation of tiger densities in India using photographic captures and recaptures. Ecology, 79, 2852–2862.</w:t>
      </w:r>
    </w:p>
    <w:p>
      <w:pPr>
        <w:pStyle w:val="165"/>
      </w:pPr>
      <w:r>
        <w:t>Kéry, M., &amp; Royle, J. A. (2016). Applied Hierarchical Modeling in Ecology: Analysis of Distribution, Abundance and Species Richness in R and BUGS. Academic Press.</w:t>
      </w:r>
    </w:p>
    <w:p>
      <w:pPr>
        <w:pStyle w:val="165"/>
      </w:pPr>
      <w:r>
        <w:t>Liu, J., Kang, Y., &amp; Jiang, A. (2026). Camera trap-based spatial patterns and drivers of mammal taxonomic, functional, and phylogenetic diversity in Mainland China. Biodiversity and Conservation, 35, 33. https://doi.org/10.1007/s10531-025-03248-x</w:t>
      </w:r>
    </w:p>
    <w:p>
      <w:pPr>
        <w:pStyle w:val="165"/>
      </w:pPr>
      <w:r>
        <w:t>Liu, J., Kang, Y., Jensen, A. J., Kays, R., &amp; Jiang, A. (2025). Apex predator loss drives trophic downgrading in China’s protected areas. Current Biology, 35, 2872–2880.e3. https://doi.org/10.1016/j.cub.2025.05.016</w:t>
      </w:r>
    </w:p>
    <w:p>
      <w:pPr>
        <w:pStyle w:val="165"/>
      </w:pPr>
      <w:r>
        <w:t>MacKenzie, D. I., Nichols, J. D., Lachman, G. B., Droege, S., Royle, J. A., &amp; Langtimm, C. A. (2002). Estimating site occupancy rates when detection probabilities are less than one. Ecology, 83, 2248–2255.</w:t>
      </w:r>
    </w:p>
    <w:p>
      <w:pPr>
        <w:pStyle w:val="165"/>
      </w:pPr>
      <w:r>
        <w:t>MacKenzie, D. I., Nichols, J. D., Royle, J. A., Pollock, K. H., Bailey, L., &amp; Hines, J. E. (2006). Occupancy Estimation and Modeling: Inferring Patterns and Dynamics of Species Occurrence. Academic Press.</w:t>
      </w:r>
    </w:p>
    <w:p>
      <w:pPr>
        <w:pStyle w:val="165"/>
      </w:pPr>
      <w:r>
        <w:t>Ministry of Ecology and Environment of the People’s Republic of China &amp; Chinese Academy of Sciences. (2023). China Biodiversity Red List: Vertebrates, 2020 update. Beijing.</w:t>
      </w:r>
    </w:p>
    <w:p>
      <w:pPr>
        <w:pStyle w:val="165"/>
      </w:pPr>
      <w:r>
        <w:t>Ministry of Ecology and Environment of the People’s Republic of China. (2023). Technical guideline for biodiversity observation: Camera trap technology, consultation and drafting materials. https://www.mee.gov.cn/xxgk2018/xxgk/xxgk06/202310/W020231008327604742503.pdf</w:t>
      </w:r>
    </w:p>
    <w:p>
      <w:pPr>
        <w:pStyle w:val="165"/>
      </w:pPr>
      <w:r>
        <w:t>Newbold, T., Hudson, L. N., Arnell, A. P., Contu, S., De Palma, A., Ferrier, S., Hill, S. L. L., Hoskins, A. J., Lysenko, I., Phillips, H. R. P., et al. (2016). Has land use pushed terrestrial biodiversity beyond the planetary boundary? A global assessment. Science, 353, 288–291.</w:t>
      </w:r>
    </w:p>
    <w:p>
      <w:pPr>
        <w:pStyle w:val="165"/>
      </w:pPr>
      <w:r>
        <w:t>Newbold, T., Hudson, L. N., Hill, S. L. L., Contu, S., Lysenko, I., Senior, R. A., Börger, L., Bennett, D. J., Choimes, A., Collen, B., et al. (2015). Global effects of land use on local terrestrial biodiversity. Nature, 520, 45–50.</w:t>
      </w:r>
    </w:p>
    <w:p>
      <w:pPr>
        <w:pStyle w:val="165"/>
      </w:pPr>
      <w:r>
        <w:t>Nichols, J. D., Bailey, L. L., O’Connell, A. F., Talancy, N. W., Grant, E. H. C., Gilbert, A. T., Annand, E. M., Husband, T. P., &amp; Hines, J. E. (2008). Multi-scale occupancy estimation and modelling using multiple detection methods. Journal of Applied Ecology, 45, 1321–1329.</w:t>
      </w:r>
    </w:p>
    <w:p>
      <w:pPr>
        <w:pStyle w:val="165"/>
      </w:pPr>
      <w:r>
        <w:t>O’Brien, T. G., Baillie, J. E. M., Krueger, L., &amp; Cuke, M. (2010). The Wildlife Picture Index: monitoring top trophic levels. Animal Conservation, 13, 335–343.</w:t>
      </w:r>
    </w:p>
    <w:p>
      <w:pPr>
        <w:pStyle w:val="165"/>
      </w:pPr>
      <w:r>
        <w:t>O’Connell, A. F., Nichols, J. D., &amp; Karanth, K. U. (2011). Camera Traps in Animal Ecology: Methods and Analyses. Springer.</w:t>
      </w:r>
    </w:p>
    <w:p>
      <w:pPr>
        <w:pStyle w:val="165"/>
      </w:pPr>
      <w:r>
        <w:t>Pimm, S. L., Jenkins, C. N., Abell, R., Brooks, T. M., Gittleman, J. L., Joppa, L. N., Raven, P. H., Roberts, C. M., &amp; Sexton, J. O. (2014). The biodiversity of species and their rates of extinction, distribution, and protection. Science, 344, 1246752.</w:t>
      </w:r>
    </w:p>
    <w:p>
      <w:pPr>
        <w:pStyle w:val="165"/>
      </w:pPr>
      <w:r>
        <w:t>Redford, K. H. (1992). The empty forest. BioScience, 42, 412–422.</w:t>
      </w:r>
    </w:p>
    <w:p>
      <w:pPr>
        <w:pStyle w:val="165"/>
      </w:pPr>
      <w:r>
        <w:t>Ripple, W. J., Estes, J. A., Beschta, R. L., Wilmers, C. C., Ritchie, E. G., Hebblewhite, M., Berger, J., Elmhagen, B., Letnic, M., Nelson, M. P., et al. (2014). Status and ecological effects of the world’s largest carnivores. Science, 343, 1241484.</w:t>
      </w:r>
    </w:p>
    <w:p>
      <w:pPr>
        <w:pStyle w:val="165"/>
      </w:pPr>
      <w:r>
        <w:t>Rovero, F., &amp; Zimmermann, F. (2016). Camera Trapping for Wildlife Research. Pelagic Publishing.</w:t>
      </w:r>
    </w:p>
    <w:p>
      <w:pPr>
        <w:pStyle w:val="165"/>
      </w:pPr>
      <w:r>
        <w:t>Rowcliffe, J. M., Field, J., Turvey, S. T., &amp; Carbone, C. (2008). Estimating animal density using camera traps without the need for individual recognition. Journal of Applied Ecology, 45, 1228–1236.</w:t>
      </w:r>
    </w:p>
    <w:p>
      <w:pPr>
        <w:pStyle w:val="165"/>
      </w:pPr>
      <w:r>
        <w:t>Royle, J. A., &amp; Nichols, J. D. (2003). Estimating abundance from repeated presence-absence data or point counts. Ecology, 84, 777–790.</w:t>
      </w:r>
    </w:p>
    <w:p>
      <w:pPr>
        <w:pStyle w:val="165"/>
      </w:pPr>
      <w:r>
        <w:t>Santini, L., Isaac, N. J. B., Ficetola, G. F., et al. (2024). TetraDENSITY 2.0: A database of population density estimates in tetrapods. Global Ecology and Biogeography, 33, e13929.</w:t>
      </w:r>
    </w:p>
    <w:p>
      <w:pPr>
        <w:pStyle w:val="165"/>
      </w:pPr>
      <w:r>
        <w:t>Scholes, R. J., &amp; Biggs, R. (2005). A biodiversity intactness index. Nature, 434, 45–49.</w:t>
      </w:r>
    </w:p>
    <w:p>
      <w:pPr>
        <w:pStyle w:val="165"/>
      </w:pPr>
      <w:r>
        <w:t>Sollmann, R. (2018). A gentle introduction to camera-trap data analysis. African Journal of Ecology, 56, 740–749.</w:t>
      </w:r>
    </w:p>
    <w:p>
      <w:pPr>
        <w:pStyle w:val="165"/>
      </w:pPr>
      <w:r>
        <w:t>Sreekar, R., &amp; Watson, J. E. M. (2026). Updating species representation targets for protected and conserved area planning. Nature Reviews Biodiversity. https://doi.org/10.1038/s44358-026-00169-7</w:t>
      </w:r>
    </w:p>
    <w:p>
      <w:pPr>
        <w:pStyle w:val="165"/>
      </w:pPr>
      <w:r>
        <w:t>Steenweg, R., Hebblewhite, M., Kays, R., Ahumada, J., Fisher, J. T., Burton, C., Townsend, S. E., Carbone, C., Rowcliffe, J. M., Whittington, J., et al. (2017). Scaling-up camera traps: monitoring the planet’s biodiversity with networks of remote sensors. Frontiers in Ecology and the Environment, 15, 26–34.</w:t>
      </w:r>
    </w:p>
    <w:p>
      <w:pPr>
        <w:pStyle w:val="165"/>
      </w:pPr>
      <w:r>
        <w:t>Tobias, J. A., Sheard, C., Pigot, A. L., Devenish, A. J. M., Yang, J., Sayol, F., Neate-Clegg, M. H. C., Alioravainen, N., Weeks, T. L., Barber, R. A., et al. (2022). AVONET: morphological, ecological and geographical data for all birds. Ecology Letters, 25, 581–597.</w:t>
      </w:r>
    </w:p>
    <w:p>
      <w:pPr>
        <w:pStyle w:val="165"/>
      </w:pPr>
      <w:r>
        <w:t>Tobler, M. W., Carrillo-Percastegui, S. E., Leite Pitman, R., Mares, R., &amp; Powell, G. (2008). An evaluation of camera traps for inventorying large- and medium-sized terrestrial rainforest mammals. Animal Conservation, 11, 169–178.</w:t>
      </w:r>
    </w:p>
    <w:p>
      <w:pPr>
        <w:pStyle w:val="165"/>
      </w:pPr>
      <w:r>
        <w:t>Tseng, T.-H., Wang, F., Sun, M., Cao, Y., Hou, S., Zhou, Y., Zhao, Z., &amp; Yang, R. (2025). Protected areas unevenly contribute to terrestrial vertebrate habitat conservation in China. Communications Earth &amp; Environment, 6, 313. https://doi.org/10.1038/s43247-025-02281-6</w:t>
      </w:r>
    </w:p>
    <w:p>
      <w:pPr>
        <w:pStyle w:val="165"/>
      </w:pPr>
      <w:r>
        <w:t>Watson, J. E. M., Shanahan, D. F., Di Marco, M., Allan, J., Laurance, W. F., Sanderson, E. W., Mackey, B., &amp; Venter, O. (2016). Catastrophic declines in wilderness areas undermine global environment targets. Current Biology, 26, 2929–2934.</w:t>
      </w:r>
    </w:p>
    <w:p>
      <w:pPr>
        <w:pStyle w:val="165"/>
      </w:pPr>
      <w:r>
        <w:t>Wilman, H., Belmaker, J., Simpson, J., de la Rosa, C., Rivadeneira, M. M., &amp; Jetz, W. (2014). EltonTraits 1.0: Species-level foraging attributes of the world’s birds and mammals. Ecology, 95, 2027.</w:t>
      </w:r>
    </w:p>
    <w:p>
      <w:pPr>
        <w:pStyle w:val="165"/>
      </w:pPr>
      <w:r>
        <w:t>Wolf, C., &amp; Ripple, W. J. (2017). Range contractions of the world’s large carnivores. Royal Society Open Science, 4, 170052.</w:t>
      </w:r>
    </w:p>
    <w:p>
      <w:pPr>
        <w:pStyle w:val="165"/>
      </w:pPr>
      <w:r>
        <w:t>Xiao, Z., Xiao, W., Wang, T., Li, S., Lian, X., Song, D., Deng, X., &amp; Zhou, Q. (2022). Wildlife monitoring and research using camera-trapping technology across China: Current status and future issues. Biodiversity Science, 30, 22451. https://doi.org/10.17520/biods.2022451</w:t>
      </w:r>
    </w:p>
    <w:p>
      <w:pPr>
        <w:pStyle w:val="165"/>
      </w:pPr>
      <w:r>
        <w:t>Zhang, L., Zhang, B., Zhou, M., He, J., et al. (2026). Species traits mediate the abundant-centre patterns in ground-dwelling mammal and bird species in China. Ecography, e08491.</w:t>
      </w:r>
    </w:p>
    <w:p>
      <w:pPr>
        <w:pStyle w:val="165"/>
      </w:pPr>
      <w:r>
        <w:t>Zhang, S., Luo, Z., Mallon, D., Li, C., &amp; Jiang, Z. (2020). Representativeness of threatened terrestrial vertebrates in nature reserves in China. Biological Conservation, 241, 108333.</w:t>
      </w:r>
    </w:p>
    <w:p>
      <w:pPr>
        <w:pStyle w:val="165"/>
      </w:pPr>
      <w:r>
        <w:t>Zotero. (2026). Adding items to Zotero. https://www.zotero.org/support/adding_items_to_zotero</w:t>
      </w:r>
    </w:p>
    <w:p>
      <w:pPr>
        <w:pStyle w:val="165"/>
      </w:pPr>
      <w:r>
        <w:t>Zotero. (2026). Zotero Web API documentation and local API basics. https://www.zotero.org/support/dev/web_api/v3/basics</w:t>
      </w:r>
    </w:p>
    <w:sectPr>
      <w:foot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8B28E">
    <w:pPr>
      <w:pStyle w:val="24"/>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97399">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3897399">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enchen DING">
    <w15:presenceInfo w15:providerId="None" w15:userId="Chenchen D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BB047"/>
    <w:rsid w:val="3FFF770A"/>
    <w:rsid w:val="FFEBF8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rial" w:hAnsi="Arial" w:eastAsia="Arial"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ableText"/>
    <w:uiPriority w:val="0"/>
    <w:pPr>
      <w:spacing w:after="40" w:line="240" w:lineRule="auto"/>
    </w:pPr>
    <w:rPr>
      <w:rFonts w:ascii="Calibri" w:hAnsi="Calibri" w:eastAsia="微软雅黑" w:cstheme="minorBidi"/>
      <w:sz w:val="18"/>
      <w:szCs w:val="22"/>
      <w:lang w:val="en-US" w:eastAsia="en-US" w:bidi="ar-SA"/>
    </w:rPr>
  </w:style>
  <w:style w:type="paragraph" w:customStyle="1" w:styleId="165">
    <w:name w:val="Reference"/>
    <w:uiPriority w:val="0"/>
    <w:pPr>
      <w:spacing w:after="60" w:line="240" w:lineRule="auto"/>
      <w:ind w:left="340" w:hanging="340"/>
    </w:pPr>
    <w:rPr>
      <w:rFonts w:ascii="Calibri" w:hAnsi="Calibri" w:eastAsia="微软雅黑"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13</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丁晨晨</cp:lastModifiedBy>
  <dcterms:modified xsi:type="dcterms:W3CDTF">2026-05-28T15:26:54Z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91CBE13FC22CE590892A186AAF1AEDE3_43</vt:lpwstr>
  </property>
</Properties>
</file>