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NEWTOWNS: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a). Testcase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0 : 4.0051131851227275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1 : 3.039143537569574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2 : 2.1806759428439513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3 : 1.5406192176121276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4 : 1.1809417486524476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5 : 1.0653938003293137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6 : 1.054225937892491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7 : 1.0541271317747276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8 : 1.0541271240912131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9 : 1.054127124091213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1.054127124091213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b). Testcase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0 : 3.725765157316224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1 : 3.2033254136625193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2 : 3.067824843363024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3 : 3.057170449479173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4 : 3.0571035526328676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5 : 3.057103549994738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6 : 3.057103549994738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3.057103549994738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SECANTS: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a). Testcase: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0 : 1.0267631007215288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1 : 1.0403899460713295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2 : 1.0544289977797143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3 : 1.054123839078655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4 : 1.0541271233109057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5 : 1.054127124091215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6 : 1.054127124091213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1.054127124091213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b). Testcase: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0 : 2.6150795561264966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1 : 2.9415450051073058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2 : 3.102400447749598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3 : 3.05388167737203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4 : 3.0570196374618237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5 : 3.057103709686958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6 : 3.0571035499868384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7 : 3.057103549994738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3.057103549994738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