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70307AAE" w:rsidR="001A5008" w:rsidRPr="001A5008" w:rsidRDefault="00B67C93" w:rsidP="00CB67FC">
      <w:pPr>
        <w:pStyle w:val="Title"/>
      </w:pPr>
      <w:r w:rsidRPr="006D0B3E">
        <w:t xml:space="preserve">Module </w:t>
      </w:r>
      <w:r w:rsidR="00D649A8">
        <w:t>5</w:t>
      </w:r>
      <w:r w:rsidRPr="006D0B3E">
        <w:t xml:space="preserve"> Reading </w:t>
      </w:r>
      <w:r w:rsidRPr="009F1828">
        <w:t>Guide</w:t>
      </w:r>
    </w:p>
    <w:p w14:paraId="2FEB5511" w14:textId="77777777" w:rsidR="00BC3C1E" w:rsidRDefault="00BC3C1E" w:rsidP="00BC3C1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F22A5E">
        <w:rPr>
          <w:rFonts w:eastAsia="Times New Roman" w:cs="Times New Roman"/>
          <w:b/>
          <w:bCs/>
          <w:szCs w:val="21"/>
        </w:rPr>
        <w:t>Plessy v. Ferguson</w:t>
      </w:r>
      <w:r w:rsidRPr="00F22A5E">
        <w:rPr>
          <w:rFonts w:eastAsia="Times New Roman" w:cs="Times New Roman"/>
          <w:b/>
          <w:bCs/>
          <w:i w:val="0"/>
          <w:iCs w:val="0"/>
          <w:szCs w:val="21"/>
        </w:rPr>
        <w:t xml:space="preserve"> (1896)</w:t>
      </w:r>
    </w:p>
    <w:p w14:paraId="722B4151" w14:textId="77777777" w:rsidR="00BC3C1E" w:rsidRPr="00D33294" w:rsidRDefault="00BC3C1E" w:rsidP="00BC3C1E">
      <w:pPr>
        <w:pStyle w:val="Heading2"/>
      </w:pPr>
      <w:r>
        <w:t>Opinion of the Court</w:t>
      </w:r>
    </w:p>
    <w:p w14:paraId="0075BFF5" w14:textId="77777777" w:rsidR="00BC3C1E" w:rsidRDefault="00BC3C1E" w:rsidP="00BC3C1E">
      <w:pPr>
        <w:pStyle w:val="ListParagraph"/>
        <w:ind w:left="720" w:hanging="360"/>
      </w:pPr>
      <w:r>
        <w:t>What does the case turn on?</w:t>
      </w:r>
    </w:p>
    <w:p w14:paraId="4051D379" w14:textId="3E53E0D4" w:rsidR="00BC3C1E" w:rsidRDefault="00BC3C1E" w:rsidP="00BC3C1E">
      <w:pPr>
        <w:pStyle w:val="ListParagraph"/>
        <w:ind w:left="720" w:hanging="360"/>
      </w:pPr>
      <w:r>
        <w:t xml:space="preserve">What did the petitioner, </w:t>
      </w:r>
      <w:r w:rsidR="007C7D8C">
        <w:t xml:space="preserve">Mr. </w:t>
      </w:r>
      <w:r w:rsidRPr="00D33294">
        <w:t>Homer Plessy</w:t>
      </w:r>
      <w:r>
        <w:t xml:space="preserve">, do? </w:t>
      </w:r>
    </w:p>
    <w:p w14:paraId="1E2AAF03" w14:textId="0D2E61F4" w:rsidR="00BC3C1E" w:rsidRDefault="00BC3C1E" w:rsidP="00BC3C1E">
      <w:pPr>
        <w:pStyle w:val="ListParagraph"/>
        <w:ind w:left="720" w:hanging="360"/>
      </w:pPr>
      <w:r>
        <w:t xml:space="preserve">What are the grounds of </w:t>
      </w:r>
      <w:r w:rsidR="001227CD">
        <w:t xml:space="preserve">Mr. </w:t>
      </w:r>
      <w:r w:rsidRPr="00D33294">
        <w:t>Plessy</w:t>
      </w:r>
      <w:r>
        <w:t>’s challenge to the constitutionality of the Louisiana statute?</w:t>
      </w:r>
    </w:p>
    <w:p w14:paraId="6688D42A" w14:textId="53BE1600" w:rsidR="00BC3C1E" w:rsidRDefault="00BC3C1E" w:rsidP="00BC3C1E">
      <w:pPr>
        <w:pStyle w:val="ListParagraph"/>
        <w:ind w:left="720" w:hanging="360"/>
      </w:pPr>
      <w:r>
        <w:t xml:space="preserve">Skim the discussion of the 13th Amendment under “1.” Here, the Court expresses its confusion </w:t>
      </w:r>
      <w:r w:rsidR="006E00C9">
        <w:t xml:space="preserve">(!) </w:t>
      </w:r>
      <w:r>
        <w:t>that the plaintiff would even think racial segregation implicates slavery because “[t]hat [the Louisiana statute] does not conflict with the Thirteenth Amendment . . . is too clear for argument.”</w:t>
      </w:r>
    </w:p>
    <w:p w14:paraId="2A403370" w14:textId="085E6814" w:rsidR="00BC3C1E" w:rsidRDefault="000A6C69" w:rsidP="00BC3C1E">
      <w:pPr>
        <w:pStyle w:val="ListParagraph"/>
        <w:ind w:left="720" w:hanging="360"/>
      </w:pPr>
      <w:r>
        <w:t>We will</w:t>
      </w:r>
      <w:r w:rsidR="00BC3C1E">
        <w:t xml:space="preserve"> focus on the 14th Amendment challenge</w:t>
      </w:r>
      <w:r w:rsidR="00026C87">
        <w:t xml:space="preserve"> for our purposes</w:t>
      </w:r>
      <w:r w:rsidR="00BC3C1E">
        <w:t>. The Court recites the relevant part of the 14th Amendment immediately following the “2” heading.</w:t>
      </w:r>
    </w:p>
    <w:p w14:paraId="7C0223E7" w14:textId="7C15B663" w:rsidR="00BC3C1E" w:rsidRPr="008A704F" w:rsidRDefault="00BC3C1E" w:rsidP="00BC3C1E">
      <w:pPr>
        <w:pStyle w:val="ListParagraph"/>
        <w:ind w:left="720" w:hanging="360"/>
        <w:rPr>
          <w:b/>
          <w:bCs/>
        </w:rPr>
      </w:pPr>
      <w:r w:rsidRPr="008A704F">
        <w:rPr>
          <w:b/>
          <w:bCs/>
        </w:rPr>
        <w:t xml:space="preserve">What does the Court think is and is not the object of the 14th Amendment? Pay attention to </w:t>
      </w:r>
      <w:r w:rsidR="00026C87" w:rsidRPr="008A704F">
        <w:rPr>
          <w:b/>
          <w:bCs/>
        </w:rPr>
        <w:t>the</w:t>
      </w:r>
      <w:r w:rsidRPr="008A704F">
        <w:rPr>
          <w:b/>
          <w:bCs/>
        </w:rPr>
        <w:t xml:space="preserve"> distinction between political and social equality</w:t>
      </w:r>
      <w:r w:rsidR="00026C87" w:rsidRPr="008A704F">
        <w:rPr>
          <w:b/>
          <w:bCs/>
        </w:rPr>
        <w:t xml:space="preserve"> that the Court appeals to</w:t>
      </w:r>
      <w:r w:rsidRPr="008A704F">
        <w:rPr>
          <w:b/>
          <w:bCs/>
        </w:rPr>
        <w:t xml:space="preserve">. What </w:t>
      </w:r>
      <w:r w:rsidR="00026C87" w:rsidRPr="008A704F">
        <w:rPr>
          <w:b/>
          <w:bCs/>
        </w:rPr>
        <w:t>is</w:t>
      </w:r>
      <w:r w:rsidRPr="008A704F">
        <w:rPr>
          <w:b/>
          <w:bCs/>
        </w:rPr>
        <w:t xml:space="preserve"> th</w:t>
      </w:r>
      <w:r w:rsidR="006E00C9" w:rsidRPr="008A704F">
        <w:rPr>
          <w:b/>
          <w:bCs/>
        </w:rPr>
        <w:t xml:space="preserve">is distinction </w:t>
      </w:r>
      <w:r w:rsidR="00026C87" w:rsidRPr="008A704F">
        <w:rPr>
          <w:b/>
          <w:bCs/>
        </w:rPr>
        <w:t xml:space="preserve">supposed to </w:t>
      </w:r>
      <w:r w:rsidRPr="008A704F">
        <w:rPr>
          <w:b/>
          <w:bCs/>
        </w:rPr>
        <w:t>mean?</w:t>
      </w:r>
      <w:r w:rsidR="006E00C9" w:rsidRPr="008A704F">
        <w:rPr>
          <w:b/>
          <w:bCs/>
        </w:rPr>
        <w:t xml:space="preserve"> Why </w:t>
      </w:r>
      <w:r w:rsidR="00026C87" w:rsidRPr="008A704F">
        <w:rPr>
          <w:b/>
          <w:bCs/>
        </w:rPr>
        <w:t>does the Court find</w:t>
      </w:r>
      <w:r w:rsidR="006E00C9" w:rsidRPr="008A704F">
        <w:rPr>
          <w:b/>
          <w:bCs/>
        </w:rPr>
        <w:t xml:space="preserve"> it relevant?</w:t>
      </w:r>
    </w:p>
    <w:p w14:paraId="4423D5E3" w14:textId="77777777" w:rsidR="008A704F" w:rsidRDefault="008A704F" w:rsidP="008A704F"/>
    <w:p w14:paraId="2499B733" w14:textId="77777777" w:rsidR="008A704F" w:rsidRDefault="008A704F" w:rsidP="008A704F"/>
    <w:p w14:paraId="3DC75FED" w14:textId="77777777" w:rsidR="008A704F" w:rsidRDefault="008A704F" w:rsidP="008A704F"/>
    <w:p w14:paraId="3ABF0592" w14:textId="77777777" w:rsidR="008A704F" w:rsidRDefault="008A704F" w:rsidP="008A704F"/>
    <w:p w14:paraId="7F229345" w14:textId="77777777" w:rsidR="008A704F" w:rsidRDefault="008A704F" w:rsidP="008A704F"/>
    <w:p w14:paraId="6F396E09" w14:textId="77777777" w:rsidR="008A704F" w:rsidRDefault="008A704F" w:rsidP="008A704F"/>
    <w:p w14:paraId="5A210600" w14:textId="77777777" w:rsidR="008A704F" w:rsidRDefault="008A704F" w:rsidP="008A704F"/>
    <w:p w14:paraId="775DE9C8" w14:textId="77777777" w:rsidR="008A704F" w:rsidRDefault="008A704F" w:rsidP="008A704F"/>
    <w:p w14:paraId="25F825E1" w14:textId="77777777" w:rsidR="008A704F" w:rsidRDefault="008A704F" w:rsidP="008A704F"/>
    <w:p w14:paraId="79285B69" w14:textId="656739DE" w:rsidR="00BC3C1E" w:rsidRDefault="00BC3C1E" w:rsidP="00BC3C1E">
      <w:pPr>
        <w:pStyle w:val="ListParagraph"/>
        <w:ind w:left="720" w:hanging="360"/>
      </w:pPr>
      <w:r>
        <w:t>Note the Court</w:t>
      </w:r>
      <w:r w:rsidR="006E00C9">
        <w:t xml:space="preserve">’s </w:t>
      </w:r>
      <w:r>
        <w:t xml:space="preserve">claim that racial segregation “do[es] not necessarily imply the inferiority of either race to the other.” </w:t>
      </w:r>
      <w:r w:rsidR="006E00C9" w:rsidRPr="00F521E0">
        <w:rPr>
          <w:i/>
          <w:iCs/>
        </w:rPr>
        <w:t>Brown</w:t>
      </w:r>
      <w:r w:rsidR="006E00C9">
        <w:t xml:space="preserve"> </w:t>
      </w:r>
      <w:r>
        <w:t xml:space="preserve">will </w:t>
      </w:r>
      <w:r w:rsidR="006E00C9">
        <w:t>revisit this</w:t>
      </w:r>
      <w:r>
        <w:t>.</w:t>
      </w:r>
    </w:p>
    <w:p w14:paraId="1C47CD26" w14:textId="27F6247C" w:rsidR="00BC3C1E" w:rsidRDefault="00BC3C1E" w:rsidP="00BC3C1E">
      <w:pPr>
        <w:pStyle w:val="ListParagraph"/>
        <w:ind w:left="720" w:hanging="360"/>
      </w:pPr>
      <w:r>
        <w:t xml:space="preserve">The Court cites </w:t>
      </w:r>
      <w:r w:rsidR="006E00C9">
        <w:t xml:space="preserve">the </w:t>
      </w:r>
      <w:r>
        <w:t xml:space="preserve">school segregation </w:t>
      </w:r>
      <w:r w:rsidR="006E00C9">
        <w:t xml:space="preserve">in D.C. </w:t>
      </w:r>
      <w:r>
        <w:t xml:space="preserve">as an example of </w:t>
      </w:r>
      <w:r w:rsidR="00026C87">
        <w:t xml:space="preserve">constitutionally </w:t>
      </w:r>
      <w:r>
        <w:t>permissible segregation!</w:t>
      </w:r>
    </w:p>
    <w:p w14:paraId="0995E3FB" w14:textId="77777777" w:rsidR="00BC3C1E" w:rsidRDefault="00BC3C1E" w:rsidP="00BC3C1E">
      <w:pPr>
        <w:pStyle w:val="ListParagraph"/>
        <w:ind w:left="720" w:hanging="360"/>
      </w:pPr>
      <w:r>
        <w:t>The next paragraph elaborates on the distinction between political and social equality.</w:t>
      </w:r>
    </w:p>
    <w:p w14:paraId="5657B800" w14:textId="4E15F83D" w:rsidR="00BC3C1E" w:rsidRPr="00FA76BB" w:rsidRDefault="00BC3C1E" w:rsidP="00BC3C1E">
      <w:pPr>
        <w:pStyle w:val="ListParagraph"/>
        <w:ind w:left="720" w:hanging="360"/>
        <w:rPr>
          <w:b/>
          <w:bCs/>
        </w:rPr>
      </w:pPr>
      <w:r w:rsidRPr="00FA76BB">
        <w:rPr>
          <w:b/>
          <w:bCs/>
        </w:rPr>
        <w:lastRenderedPageBreak/>
        <w:t xml:space="preserve">What question, according to the Court, is the case reduced to? </w:t>
      </w:r>
      <w:r>
        <w:rPr>
          <w:b/>
          <w:bCs/>
        </w:rPr>
        <w:t xml:space="preserve">What </w:t>
      </w:r>
      <w:r w:rsidR="00AA0B36">
        <w:rPr>
          <w:b/>
          <w:bCs/>
        </w:rPr>
        <w:t xml:space="preserve">standard of review </w:t>
      </w:r>
      <w:r>
        <w:rPr>
          <w:b/>
          <w:bCs/>
        </w:rPr>
        <w:t>is the Court applying</w:t>
      </w:r>
      <w:r w:rsidR="00026C87">
        <w:rPr>
          <w:b/>
          <w:bCs/>
        </w:rPr>
        <w:t xml:space="preserve"> (recall our discussion in Module 1, but note that </w:t>
      </w:r>
      <w:r w:rsidR="00026C87" w:rsidRPr="00026C87">
        <w:rPr>
          <w:b/>
          <w:bCs/>
          <w:i/>
          <w:iCs/>
        </w:rPr>
        <w:t>Plessy</w:t>
      </w:r>
      <w:r w:rsidR="00026C87">
        <w:rPr>
          <w:b/>
          <w:bCs/>
        </w:rPr>
        <w:t xml:space="preserve"> predates the three-tier division)</w:t>
      </w:r>
      <w:r>
        <w:rPr>
          <w:b/>
          <w:bCs/>
        </w:rPr>
        <w:t xml:space="preserve">? </w:t>
      </w:r>
      <w:r w:rsidR="00026C87">
        <w:rPr>
          <w:b/>
          <w:bCs/>
        </w:rPr>
        <w:t>How does the Court analyze the constitutionality of the statute under this standard of review?</w:t>
      </w:r>
    </w:p>
    <w:p w14:paraId="7E3AAB18" w14:textId="77777777" w:rsidR="00BC3C1E" w:rsidRPr="00FA76BB" w:rsidRDefault="00BC3C1E" w:rsidP="00BC3C1E"/>
    <w:p w14:paraId="2BC2A26B" w14:textId="77777777" w:rsidR="00BC3C1E" w:rsidRDefault="00BC3C1E" w:rsidP="00BC3C1E"/>
    <w:p w14:paraId="64DDAF85" w14:textId="0154A78B" w:rsidR="00BC3C1E" w:rsidRDefault="00BC3C1E" w:rsidP="00BC3C1E"/>
    <w:p w14:paraId="518EED1B" w14:textId="77777777" w:rsidR="00026C87" w:rsidRDefault="00026C87" w:rsidP="00BC3C1E"/>
    <w:p w14:paraId="7F02443E" w14:textId="77777777" w:rsidR="008A704F" w:rsidRDefault="008A704F" w:rsidP="00BC3C1E"/>
    <w:p w14:paraId="5F9B3586" w14:textId="77777777" w:rsidR="008A704F" w:rsidRDefault="008A704F" w:rsidP="00BC3C1E"/>
    <w:p w14:paraId="0D9959C6" w14:textId="77777777" w:rsidR="008A704F" w:rsidRDefault="008A704F" w:rsidP="00BC3C1E"/>
    <w:p w14:paraId="0EF328BE" w14:textId="77777777" w:rsidR="008A704F" w:rsidRDefault="008A704F" w:rsidP="00BC3C1E"/>
    <w:p w14:paraId="0DB02145" w14:textId="77777777" w:rsidR="008A704F" w:rsidRPr="00D47BD5" w:rsidRDefault="008A704F" w:rsidP="00BC3C1E"/>
    <w:p w14:paraId="27A37A8D" w14:textId="4D275506" w:rsidR="00BC3C1E" w:rsidRDefault="00BC3C1E" w:rsidP="00BC3C1E">
      <w:pPr>
        <w:pStyle w:val="ListParagraph"/>
        <w:ind w:left="720" w:hanging="360"/>
      </w:pPr>
      <w:r>
        <w:t xml:space="preserve">Which two reasons does the Court </w:t>
      </w:r>
      <w:r w:rsidR="00BF10BE">
        <w:t>appeal to in response to</w:t>
      </w:r>
      <w:r>
        <w:t xml:space="preserve"> the</w:t>
      </w:r>
      <w:r w:rsidRPr="00D47BD5">
        <w:t xml:space="preserve"> </w:t>
      </w:r>
      <w:r>
        <w:t>argument</w:t>
      </w:r>
      <w:r w:rsidRPr="00D47BD5">
        <w:t xml:space="preserve"> that racial segregation implies inferiority?</w:t>
      </w:r>
      <w:r>
        <w:t xml:space="preserve"> (</w:t>
      </w:r>
      <w:r w:rsidR="005B2473">
        <w:t>Why do the</w:t>
      </w:r>
      <w:r>
        <w:t xml:space="preserve"> justices say they need to “imagine” how white people would react?)</w:t>
      </w:r>
    </w:p>
    <w:p w14:paraId="45A14904" w14:textId="77777777" w:rsidR="00BC3C1E" w:rsidRPr="00D47BD5" w:rsidRDefault="00BC3C1E" w:rsidP="00BC3C1E">
      <w:pPr>
        <w:pStyle w:val="Heading2"/>
      </w:pPr>
      <w:r>
        <w:t>Justice Harlan’s Dissent</w:t>
      </w:r>
    </w:p>
    <w:p w14:paraId="577AF778" w14:textId="38F91D59" w:rsidR="00BC3C1E" w:rsidRDefault="00BC3C1E" w:rsidP="00BC3C1E">
      <w:pPr>
        <w:pStyle w:val="ListParagraph"/>
        <w:ind w:left="720" w:hanging="360"/>
      </w:pPr>
      <w:r>
        <w:t>Among all the provisions of the Louisiana statute, which appears particularly troubling to Justice Harlan?</w:t>
      </w:r>
    </w:p>
    <w:p w14:paraId="23748858" w14:textId="7C3F2451" w:rsidR="00BC3C1E" w:rsidRDefault="00246F3C" w:rsidP="00BC3C1E">
      <w:pPr>
        <w:pStyle w:val="ListParagraph"/>
        <w:ind w:left="720" w:hanging="360"/>
      </w:pPr>
      <w:r>
        <w:t xml:space="preserve">What does </w:t>
      </w:r>
      <w:r w:rsidR="008A704F">
        <w:t xml:space="preserve">Justice </w:t>
      </w:r>
      <w:r>
        <w:t>Harlan</w:t>
      </w:r>
      <w:r w:rsidR="005B2473">
        <w:t xml:space="preserve"> think</w:t>
      </w:r>
      <w:r>
        <w:t xml:space="preserve"> the Constitution prohibits </w:t>
      </w:r>
      <w:r w:rsidR="005B2473">
        <w:t>when it comes to</w:t>
      </w:r>
      <w:r>
        <w:t xml:space="preserve"> civil rights</w:t>
      </w:r>
      <w:r w:rsidR="00BC3C1E">
        <w:t>?</w:t>
      </w:r>
    </w:p>
    <w:p w14:paraId="489F51F7" w14:textId="1D61348F" w:rsidR="00BC3C1E" w:rsidRDefault="00BC3C1E" w:rsidP="00BC3C1E">
      <w:pPr>
        <w:pStyle w:val="ListParagraph"/>
        <w:ind w:left="720" w:hanging="360"/>
      </w:pPr>
      <w:r>
        <w:t xml:space="preserve">What, according to Harlan, are the implications of the </w:t>
      </w:r>
      <w:r w:rsidR="00BF10BE">
        <w:t>Reconstruction</w:t>
      </w:r>
      <w:r>
        <w:t xml:space="preserve"> Amendments</w:t>
      </w:r>
      <w:r w:rsidR="00BF10BE">
        <w:t xml:space="preserve"> (the 13th, 14th</w:t>
      </w:r>
      <w:r w:rsidR="008A704F">
        <w:t>,</w:t>
      </w:r>
      <w:r w:rsidR="00BF10BE">
        <w:t xml:space="preserve"> and 15th Amendments)</w:t>
      </w:r>
      <w:r>
        <w:t>?</w:t>
      </w:r>
    </w:p>
    <w:p w14:paraId="23183AD6" w14:textId="77777777" w:rsidR="00BC3C1E" w:rsidRPr="00DF4948" w:rsidRDefault="00BC3C1E" w:rsidP="00BC3C1E">
      <w:pPr>
        <w:pStyle w:val="ListParagraph"/>
        <w:ind w:left="720" w:hanging="360"/>
        <w:rPr>
          <w:b/>
          <w:bCs/>
        </w:rPr>
      </w:pPr>
      <w:r w:rsidRPr="00DF4948">
        <w:rPr>
          <w:b/>
          <w:bCs/>
        </w:rPr>
        <w:t xml:space="preserve">How does Harlan respond to the objection that the Louisiana statute </w:t>
      </w:r>
      <w:r>
        <w:rPr>
          <w:b/>
          <w:bCs/>
        </w:rPr>
        <w:t>does</w:t>
      </w:r>
      <w:r w:rsidRPr="00DF4948">
        <w:rPr>
          <w:b/>
          <w:bCs/>
        </w:rPr>
        <w:t xml:space="preserve"> not </w:t>
      </w:r>
      <w:r>
        <w:rPr>
          <w:b/>
          <w:bCs/>
        </w:rPr>
        <w:t>discriminate</w:t>
      </w:r>
      <w:r w:rsidRPr="00DF4948">
        <w:rPr>
          <w:b/>
          <w:bCs/>
        </w:rPr>
        <w:t xml:space="preserve"> </w:t>
      </w:r>
      <w:r>
        <w:rPr>
          <w:b/>
          <w:bCs/>
        </w:rPr>
        <w:t>against Black people because</w:t>
      </w:r>
      <w:r w:rsidRPr="00DF4948">
        <w:rPr>
          <w:b/>
          <w:bCs/>
        </w:rPr>
        <w:t xml:space="preserve"> it </w:t>
      </w:r>
      <w:r>
        <w:rPr>
          <w:b/>
          <w:bCs/>
        </w:rPr>
        <w:t>also prohibits</w:t>
      </w:r>
      <w:r w:rsidRPr="00DF4948">
        <w:rPr>
          <w:b/>
          <w:bCs/>
        </w:rPr>
        <w:t xml:space="preserve"> a white person </w:t>
      </w:r>
      <w:r>
        <w:rPr>
          <w:b/>
          <w:bCs/>
        </w:rPr>
        <w:t xml:space="preserve">from </w:t>
      </w:r>
      <w:r w:rsidRPr="00DF4948">
        <w:rPr>
          <w:b/>
          <w:bCs/>
        </w:rPr>
        <w:t>taking a seat in a coach assigned to Black people?</w:t>
      </w:r>
      <w:r>
        <w:rPr>
          <w:b/>
          <w:bCs/>
        </w:rPr>
        <w:t xml:space="preserve"> (We will meet this equal application objection again and again in our future readings.)</w:t>
      </w:r>
    </w:p>
    <w:p w14:paraId="7395EFDE" w14:textId="3DEB5289" w:rsidR="00BC3C1E" w:rsidRDefault="00BC3C1E" w:rsidP="00BC3C1E"/>
    <w:p w14:paraId="07CA23F8" w14:textId="70D29E88" w:rsidR="005B2473" w:rsidRDefault="005B2473" w:rsidP="00BC3C1E"/>
    <w:p w14:paraId="5B18C582" w14:textId="77777777" w:rsidR="005B2473" w:rsidRDefault="005B2473" w:rsidP="00BC3C1E"/>
    <w:p w14:paraId="19A4F5F3" w14:textId="77777777" w:rsidR="00BC3C1E" w:rsidRDefault="00BC3C1E" w:rsidP="00BC3C1E"/>
    <w:p w14:paraId="1A85A8A2" w14:textId="77777777" w:rsidR="008A704F" w:rsidRDefault="008A704F" w:rsidP="00BC3C1E"/>
    <w:p w14:paraId="4D3B3B13" w14:textId="77777777" w:rsidR="008A704F" w:rsidRDefault="008A704F" w:rsidP="00BC3C1E"/>
    <w:p w14:paraId="27CF2265" w14:textId="77777777" w:rsidR="008A704F" w:rsidRDefault="008A704F" w:rsidP="00BC3C1E"/>
    <w:p w14:paraId="145388C0" w14:textId="77777777" w:rsidR="008A704F" w:rsidRDefault="008A704F" w:rsidP="00BC3C1E"/>
    <w:p w14:paraId="687C2246" w14:textId="0F4D51B1" w:rsidR="00BC3C1E" w:rsidRDefault="00BC3C1E" w:rsidP="00BC3C1E">
      <w:pPr>
        <w:pStyle w:val="ListParagraph"/>
        <w:ind w:left="720" w:hanging="360"/>
      </w:pPr>
      <w:r>
        <w:t>Harlan then gives us a list of many of the absurd implications of the Court’s ruling.</w:t>
      </w:r>
    </w:p>
    <w:p w14:paraId="7D3BBDB4" w14:textId="2A9F45B6" w:rsidR="00BC3C1E" w:rsidRDefault="00BC3C1E" w:rsidP="00BC3C1E">
      <w:pPr>
        <w:pStyle w:val="ListParagraph"/>
        <w:ind w:left="720" w:hanging="360"/>
      </w:pPr>
      <w:r>
        <w:t xml:space="preserve">Harlan questions why the </w:t>
      </w:r>
      <w:r w:rsidR="005B2473">
        <w:t xml:space="preserve">majority </w:t>
      </w:r>
      <w:r>
        <w:t xml:space="preserve">would even consider </w:t>
      </w:r>
      <w:r w:rsidR="00BF10BE">
        <w:t xml:space="preserve">the question of </w:t>
      </w:r>
      <w:r>
        <w:t xml:space="preserve">whether the statute is reasonable because a statute’s legal validity has nothing to do with “the policy or expediency of legislation.” </w:t>
      </w:r>
      <w:r w:rsidR="00BF10BE">
        <w:t>Does</w:t>
      </w:r>
      <w:r>
        <w:t xml:space="preserve"> Harlan </w:t>
      </w:r>
      <w:r w:rsidR="00BF10BE">
        <w:t>understand</w:t>
      </w:r>
      <w:r>
        <w:t xml:space="preserve"> “reasonable” in the same way the </w:t>
      </w:r>
      <w:r w:rsidR="005B2473">
        <w:t>majority</w:t>
      </w:r>
      <w:r>
        <w:t xml:space="preserve"> does?</w:t>
      </w:r>
    </w:p>
    <w:p w14:paraId="77E9A044" w14:textId="0D6653C9" w:rsidR="00BC3C1E" w:rsidRDefault="00BC3C1E" w:rsidP="00BC3C1E">
      <w:pPr>
        <w:pStyle w:val="ListParagraph"/>
        <w:ind w:left="720" w:hanging="360"/>
      </w:pPr>
      <w:r>
        <w:lastRenderedPageBreak/>
        <w:t xml:space="preserve">Note Harlan takes the Constitution to be “color-blind” and </w:t>
      </w:r>
      <w:r w:rsidR="008A704F">
        <w:t xml:space="preserve">to </w:t>
      </w:r>
      <w:r>
        <w:t>prohibit second-class citizenship</w:t>
      </w:r>
      <w:r w:rsidR="008A704F">
        <w:t xml:space="preserve"> at the same time</w:t>
      </w:r>
      <w:r>
        <w:t xml:space="preserve">. </w:t>
      </w:r>
      <w:r w:rsidR="002C2068">
        <w:t>What gives</w:t>
      </w:r>
      <w:r>
        <w:t>?</w:t>
      </w:r>
    </w:p>
    <w:p w14:paraId="58B656E6" w14:textId="77777777" w:rsidR="00BC3C1E" w:rsidRDefault="00BC3C1E" w:rsidP="00BC3C1E">
      <w:pPr>
        <w:pStyle w:val="ListParagraph"/>
        <w:ind w:left="720" w:hanging="360"/>
      </w:pPr>
      <w:r>
        <w:t xml:space="preserve">Harlan predicts that the Court’s decision today will end up as infamous as </w:t>
      </w:r>
      <w:r w:rsidRPr="00DF31CE">
        <w:rPr>
          <w:i/>
          <w:iCs/>
        </w:rPr>
        <w:t>Dred Scott</w:t>
      </w:r>
      <w:r>
        <w:t>.</w:t>
      </w:r>
    </w:p>
    <w:p w14:paraId="66309BAE" w14:textId="77777777" w:rsidR="00BC3C1E" w:rsidRPr="00DF31CE" w:rsidRDefault="00BC3C1E" w:rsidP="00BC3C1E">
      <w:pPr>
        <w:pStyle w:val="ListParagraph"/>
        <w:ind w:left="720" w:hanging="360"/>
        <w:rPr>
          <w:b/>
          <w:bCs/>
        </w:rPr>
      </w:pPr>
      <w:r w:rsidRPr="00DF31CE">
        <w:rPr>
          <w:b/>
          <w:bCs/>
        </w:rPr>
        <w:t>What does Harlan think is the “real meaning” of the Louisiana statute?</w:t>
      </w:r>
    </w:p>
    <w:p w14:paraId="71D15227" w14:textId="3B422B7D" w:rsidR="00BC3C1E" w:rsidRDefault="00BC3C1E" w:rsidP="00BC3C1E"/>
    <w:p w14:paraId="748B221D" w14:textId="77777777" w:rsidR="005B2473" w:rsidRPr="00DF31CE" w:rsidRDefault="005B2473" w:rsidP="00BC3C1E"/>
    <w:p w14:paraId="06498A3F" w14:textId="77777777" w:rsidR="00BC3C1E" w:rsidRDefault="00BC3C1E" w:rsidP="00BC3C1E"/>
    <w:p w14:paraId="4E4951E7" w14:textId="77777777" w:rsidR="00BC3C1E" w:rsidRDefault="00BC3C1E" w:rsidP="00BC3C1E"/>
    <w:p w14:paraId="0C2CDB6B" w14:textId="77777777" w:rsidR="00824768" w:rsidRDefault="00824768" w:rsidP="00BC3C1E"/>
    <w:p w14:paraId="4A9B8407" w14:textId="77777777" w:rsidR="00824768" w:rsidRDefault="00824768" w:rsidP="00BC3C1E"/>
    <w:p w14:paraId="62D47100" w14:textId="77777777" w:rsidR="00824768" w:rsidRDefault="00824768" w:rsidP="00BC3C1E"/>
    <w:p w14:paraId="19471540" w14:textId="77777777" w:rsidR="00824768" w:rsidRDefault="00824768" w:rsidP="00BC3C1E"/>
    <w:p w14:paraId="41515BF0" w14:textId="77777777" w:rsidR="00824768" w:rsidRDefault="00824768" w:rsidP="00BC3C1E"/>
    <w:p w14:paraId="6DD7DB8A" w14:textId="77777777" w:rsidR="00BC3C1E" w:rsidRPr="00AF3FA3" w:rsidRDefault="00BC3C1E" w:rsidP="00BC3C1E">
      <w:pPr>
        <w:pStyle w:val="ListParagraph"/>
        <w:ind w:left="720" w:hanging="360"/>
        <w:rPr>
          <w:b/>
          <w:bCs/>
        </w:rPr>
      </w:pPr>
      <w:r w:rsidRPr="00AF3FA3">
        <w:rPr>
          <w:b/>
          <w:bCs/>
        </w:rPr>
        <w:t xml:space="preserve">What is </w:t>
      </w:r>
      <w:r>
        <w:rPr>
          <w:b/>
          <w:bCs/>
        </w:rPr>
        <w:t>Harlan’s</w:t>
      </w:r>
      <w:r w:rsidRPr="00AF3FA3">
        <w:rPr>
          <w:b/>
          <w:bCs/>
        </w:rPr>
        <w:t xml:space="preserve"> allusion to “the Chinese race” supposed to show?</w:t>
      </w:r>
    </w:p>
    <w:p w14:paraId="0D0E280F" w14:textId="18A8AC39" w:rsidR="00BC3C1E" w:rsidRDefault="00BC3C1E" w:rsidP="00BC3C1E"/>
    <w:p w14:paraId="19E3B996" w14:textId="77777777" w:rsidR="005B2473" w:rsidRDefault="005B2473" w:rsidP="00BC3C1E"/>
    <w:p w14:paraId="732382B7" w14:textId="77777777" w:rsidR="00BC3C1E" w:rsidRDefault="00BC3C1E" w:rsidP="00BC3C1E"/>
    <w:p w14:paraId="345A9A52" w14:textId="77777777" w:rsidR="00BC3C1E" w:rsidRDefault="00BC3C1E" w:rsidP="00BC3C1E"/>
    <w:p w14:paraId="79945610" w14:textId="77777777" w:rsidR="00824768" w:rsidRDefault="00824768" w:rsidP="00BC3C1E"/>
    <w:p w14:paraId="5D03D082" w14:textId="77777777" w:rsidR="00824768" w:rsidRDefault="00824768" w:rsidP="00BC3C1E"/>
    <w:p w14:paraId="4FDCF697" w14:textId="77777777" w:rsidR="00824768" w:rsidRDefault="00824768" w:rsidP="00BC3C1E"/>
    <w:p w14:paraId="1CC32502" w14:textId="77777777" w:rsidR="00824768" w:rsidRDefault="00824768" w:rsidP="00BC3C1E"/>
    <w:p w14:paraId="2A464F42" w14:textId="77777777" w:rsidR="00824768" w:rsidRPr="00124DFE" w:rsidRDefault="00824768" w:rsidP="00BC3C1E"/>
    <w:p w14:paraId="12DF0EBD" w14:textId="77777777" w:rsidR="00BC3C1E" w:rsidRDefault="00BC3C1E" w:rsidP="00BC3C1E">
      <w:pPr>
        <w:pStyle w:val="ListParagraph"/>
        <w:ind w:left="720" w:hanging="360"/>
      </w:pPr>
      <w:r>
        <w:t>Does Harlan think racial segregation would still be legally impermissible if Black citizens had equal rights?</w:t>
      </w:r>
    </w:p>
    <w:p w14:paraId="12451F10" w14:textId="77777777" w:rsidR="00BC3C1E" w:rsidRPr="00D33294" w:rsidRDefault="00BC3C1E" w:rsidP="00BC3C1E">
      <w:pPr>
        <w:pStyle w:val="ListParagraph"/>
        <w:ind w:left="720" w:hanging="360"/>
      </w:pPr>
      <w:r>
        <w:t>Skim the rest of Harlan’s dissent.</w:t>
      </w:r>
    </w:p>
    <w:p w14:paraId="00C55759" w14:textId="77777777" w:rsidR="00BC3C1E" w:rsidRDefault="00BC3C1E" w:rsidP="00BC3C1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F22A5E">
        <w:rPr>
          <w:rFonts w:eastAsia="Times New Roman" w:cs="Times New Roman"/>
          <w:b/>
          <w:bCs/>
          <w:szCs w:val="21"/>
        </w:rPr>
        <w:t>Brown v. Board of Education</w:t>
      </w:r>
      <w:r w:rsidRPr="00F22A5E">
        <w:rPr>
          <w:rFonts w:eastAsia="Times New Roman" w:cs="Times New Roman"/>
          <w:b/>
          <w:bCs/>
          <w:i w:val="0"/>
          <w:iCs w:val="0"/>
          <w:szCs w:val="21"/>
        </w:rPr>
        <w:t xml:space="preserve"> (1954)</w:t>
      </w:r>
    </w:p>
    <w:p w14:paraId="2DB49D17" w14:textId="77777777" w:rsidR="00BC3C1E" w:rsidRDefault="00BC3C1E" w:rsidP="00BC3C1E">
      <w:pPr>
        <w:pStyle w:val="ListParagraph"/>
      </w:pPr>
      <w:r>
        <w:t>What are these consolidated cases about? What constitutional question do they implicate?</w:t>
      </w:r>
    </w:p>
    <w:p w14:paraId="04FB5832" w14:textId="27D4F36B" w:rsidR="00BC3C1E" w:rsidRDefault="00BC3C1E" w:rsidP="00BC3C1E">
      <w:pPr>
        <w:pStyle w:val="ListParagraph"/>
      </w:pPr>
      <w:r>
        <w:t xml:space="preserve">You might have noticed something unusual about these cases: Most of them were decided by three-judge panels </w:t>
      </w:r>
      <w:r w:rsidR="00341467">
        <w:t>of</w:t>
      </w:r>
      <w:r>
        <w:t xml:space="preserve"> federal </w:t>
      </w:r>
      <w:r>
        <w:rPr>
          <w:i/>
          <w:iCs/>
        </w:rPr>
        <w:t>district</w:t>
      </w:r>
      <w:r>
        <w:t xml:space="preserve"> court</w:t>
      </w:r>
      <w:r w:rsidR="00341467">
        <w:t>s</w:t>
      </w:r>
      <w:r>
        <w:t xml:space="preserve">, and they were appealed to the U.S. Supreme Court </w:t>
      </w:r>
      <w:r w:rsidR="00341467" w:rsidRPr="00BE7378">
        <w:rPr>
          <w:i/>
          <w:iCs/>
        </w:rPr>
        <w:t>directly</w:t>
      </w:r>
      <w:r w:rsidR="00341467">
        <w:t xml:space="preserve">, </w:t>
      </w:r>
      <w:r>
        <w:t xml:space="preserve">skipping the </w:t>
      </w:r>
      <w:r w:rsidR="00A57078">
        <w:t xml:space="preserve">intermediate </w:t>
      </w:r>
      <w:r>
        <w:t>courts</w:t>
      </w:r>
      <w:r w:rsidR="00A57078">
        <w:t xml:space="preserve"> of appeals</w:t>
      </w:r>
      <w:r>
        <w:t xml:space="preserve">. </w:t>
      </w:r>
      <w:r w:rsidR="00341467">
        <w:t>(</w:t>
      </w:r>
      <w:r w:rsidR="00BF10BE">
        <w:t>And, n</w:t>
      </w:r>
      <w:r>
        <w:t>o, these were not emergency petitions on the Court’s shadow docket.</w:t>
      </w:r>
      <w:r w:rsidR="00341467">
        <w:t>)</w:t>
      </w:r>
      <w:r>
        <w:t xml:space="preserve"> This is very different from how cases are heard today: federal district courts rarely convene three-judge panels, and there are hardly any direct appeals to the </w:t>
      </w:r>
      <w:r w:rsidR="00BF10BE">
        <w:t xml:space="preserve">U.S. </w:t>
      </w:r>
      <w:r>
        <w:t>Supreme Court.</w:t>
      </w:r>
    </w:p>
    <w:p w14:paraId="3973372A" w14:textId="0492F36F" w:rsidR="00BC3C1E" w:rsidRDefault="00BC3C1E" w:rsidP="00BC3C1E">
      <w:pPr>
        <w:pStyle w:val="ListParagraph"/>
        <w:numPr>
          <w:ilvl w:val="0"/>
          <w:numId w:val="0"/>
        </w:numPr>
        <w:ind w:left="792"/>
      </w:pPr>
      <w:r>
        <w:t xml:space="preserve">In 1910, Congress passed a law requiring that </w:t>
      </w:r>
      <w:r w:rsidR="003A10B1">
        <w:t>constitutional challenges</w:t>
      </w:r>
      <w:r>
        <w:t xml:space="preserve"> </w:t>
      </w:r>
      <w:r w:rsidR="003A10B1">
        <w:t>to state statutes</w:t>
      </w:r>
      <w:r>
        <w:t xml:space="preserve"> be heard by three-judge district courts (as opposed to one district court judge), with direct and mandatory review by the U.S. Supreme Court. The </w:t>
      </w:r>
      <w:r w:rsidR="005B2473">
        <w:t>law</w:t>
      </w:r>
      <w:r>
        <w:t xml:space="preserve"> was </w:t>
      </w:r>
      <w:r w:rsidR="00F17B19">
        <w:t xml:space="preserve">a direct </w:t>
      </w:r>
      <w:r w:rsidR="000E17E1">
        <w:t>attempt to curb</w:t>
      </w:r>
      <w:r>
        <w:t xml:space="preserve"> the Court’s decision in </w:t>
      </w:r>
      <w:r w:rsidRPr="00F02497">
        <w:rPr>
          <w:i/>
          <w:iCs/>
        </w:rPr>
        <w:t xml:space="preserve">Ex </w:t>
      </w:r>
      <w:proofErr w:type="spellStart"/>
      <w:r w:rsidRPr="00F02497">
        <w:rPr>
          <w:i/>
          <w:iCs/>
        </w:rPr>
        <w:t>Parte</w:t>
      </w:r>
      <w:proofErr w:type="spellEnd"/>
      <w:r w:rsidRPr="00F02497">
        <w:rPr>
          <w:i/>
          <w:iCs/>
        </w:rPr>
        <w:t xml:space="preserve"> Young</w:t>
      </w:r>
      <w:r>
        <w:t xml:space="preserve"> (1908), </w:t>
      </w:r>
      <w:r w:rsidR="00FA5492">
        <w:t xml:space="preserve">which we </w:t>
      </w:r>
      <w:r w:rsidR="006561B9">
        <w:t>introduced</w:t>
      </w:r>
      <w:r w:rsidR="00FA5492">
        <w:t xml:space="preserve"> </w:t>
      </w:r>
      <w:r w:rsidR="00FA5492">
        <w:lastRenderedPageBreak/>
        <w:t>at the start of the course.</w:t>
      </w:r>
      <w:r w:rsidR="00203BC2">
        <w:t xml:space="preserve"> In 1937, Congress extended these provisions to federal statutes.</w:t>
      </w:r>
    </w:p>
    <w:p w14:paraId="141822E9" w14:textId="120D7A59" w:rsidR="00BC3C1E" w:rsidRDefault="00401514" w:rsidP="00BC3C1E">
      <w:pPr>
        <w:pStyle w:val="ListParagraph"/>
        <w:numPr>
          <w:ilvl w:val="0"/>
          <w:numId w:val="0"/>
        </w:numPr>
        <w:ind w:left="792"/>
      </w:pPr>
      <w:r>
        <w:t>In 1976, t</w:t>
      </w:r>
      <w:r w:rsidR="0095665B">
        <w:t>he Court</w:t>
      </w:r>
      <w:r>
        <w:t xml:space="preserve"> </w:t>
      </w:r>
      <w:r w:rsidR="0095665B">
        <w:t xml:space="preserve">succeeded in lobbying </w:t>
      </w:r>
      <w:r w:rsidR="00BC3C1E">
        <w:t xml:space="preserve">Congress </w:t>
      </w:r>
      <w:r w:rsidR="0095665B">
        <w:t xml:space="preserve">to </w:t>
      </w:r>
      <w:proofErr w:type="gramStart"/>
      <w:r w:rsidR="0095665B">
        <w:t>almost completely abolish</w:t>
      </w:r>
      <w:r w:rsidR="00BC3C1E">
        <w:t xml:space="preserve"> </w:t>
      </w:r>
      <w:r w:rsidR="0095665B">
        <w:t>mandatory appeals</w:t>
      </w:r>
      <w:proofErr w:type="gramEnd"/>
      <w:r w:rsidR="00BC3C1E">
        <w:t xml:space="preserve"> as </w:t>
      </w:r>
      <w:r w:rsidR="00FD6450">
        <w:t>part of</w:t>
      </w:r>
      <w:r w:rsidR="00BC3C1E">
        <w:t xml:space="preserve"> a reform to covert the Court’s appellate jurisdiction to the </w:t>
      </w:r>
      <w:r w:rsidR="0095665B">
        <w:t>overwhelmingly</w:t>
      </w:r>
      <w:r w:rsidR="00BC3C1E">
        <w:t xml:space="preserve"> discretionary certiorari system</w:t>
      </w:r>
      <w:r w:rsidR="0049530F">
        <w:t xml:space="preserve"> </w:t>
      </w:r>
      <w:r w:rsidR="0095665B">
        <w:t xml:space="preserve">that </w:t>
      </w:r>
      <w:r w:rsidR="0049530F">
        <w:t>we are familiar with today</w:t>
      </w:r>
      <w:r w:rsidR="00BC3C1E">
        <w:t xml:space="preserve">. </w:t>
      </w:r>
      <w:r w:rsidR="0049530F">
        <w:t>Nowadays</w:t>
      </w:r>
      <w:r w:rsidR="00BC3C1E">
        <w:t>, only a very small number of</w:t>
      </w:r>
      <w:r w:rsidR="00A46E42">
        <w:t xml:space="preserve"> cases, most commonly</w:t>
      </w:r>
      <w:r w:rsidR="00BC3C1E">
        <w:t xml:space="preserve"> redistricting case</w:t>
      </w:r>
      <w:r w:rsidR="005B2473">
        <w:t>s</w:t>
      </w:r>
      <w:r w:rsidR="00A46E42">
        <w:t>,</w:t>
      </w:r>
      <w:r w:rsidR="00BC3C1E">
        <w:t xml:space="preserve"> are still heard by three-judge district courts, with direct and as-of-right appeals to the U.S. Supreme Court.</w:t>
      </w:r>
    </w:p>
    <w:p w14:paraId="7CFFFBF0" w14:textId="3464625E" w:rsidR="00BC3C1E" w:rsidRDefault="00EA4516" w:rsidP="00BC3C1E">
      <w:pPr>
        <w:pStyle w:val="ListParagraph"/>
      </w:pPr>
      <w:r>
        <w:t>What</w:t>
      </w:r>
      <w:r w:rsidR="00BC3C1E">
        <w:t xml:space="preserve"> does the Court take </w:t>
      </w:r>
      <w:r w:rsidR="00BC3C1E" w:rsidRPr="00E52A63">
        <w:rPr>
          <w:i/>
          <w:iCs/>
        </w:rPr>
        <w:t>Plessy</w:t>
      </w:r>
      <w:r w:rsidR="00BC3C1E">
        <w:t xml:space="preserve"> to have established?</w:t>
      </w:r>
    </w:p>
    <w:p w14:paraId="03712858" w14:textId="77777777" w:rsidR="00BC3C1E" w:rsidRDefault="00BC3C1E" w:rsidP="00BC3C1E">
      <w:pPr>
        <w:pStyle w:val="ListParagraph"/>
      </w:pPr>
      <w:r>
        <w:t xml:space="preserve">What do the plaintiffs contend? (Think about: what do the plaintiffs mean when they say segregated public schools cannot be </w:t>
      </w:r>
      <w:r>
        <w:rPr>
          <w:i/>
          <w:iCs/>
        </w:rPr>
        <w:t>made</w:t>
      </w:r>
      <w:r>
        <w:t xml:space="preserve"> equal?)</w:t>
      </w:r>
    </w:p>
    <w:p w14:paraId="272558B7" w14:textId="3237A1D5" w:rsidR="00BC3C1E" w:rsidRDefault="00BC3C1E" w:rsidP="00BC3C1E">
      <w:pPr>
        <w:pStyle w:val="ListParagraph"/>
      </w:pPr>
      <w:r>
        <w:t>The Court then discuss</w:t>
      </w:r>
      <w:r w:rsidR="00CC38E2">
        <w:t>es</w:t>
      </w:r>
      <w:r>
        <w:t xml:space="preserve"> two reasons why it thinks the legislative history of the 14th Amendment is not conclusive as to what the framers intended the amendment to do </w:t>
      </w:r>
      <w:r w:rsidR="005B2473">
        <w:t>with respect to</w:t>
      </w:r>
      <w:r>
        <w:t xml:space="preserve"> public education.</w:t>
      </w:r>
    </w:p>
    <w:p w14:paraId="5EC9266A" w14:textId="49884AF5" w:rsidR="00BC3C1E" w:rsidRDefault="00BC3C1E" w:rsidP="00BC3C1E">
      <w:pPr>
        <w:pStyle w:val="ListParagraph"/>
      </w:pPr>
      <w:r>
        <w:t xml:space="preserve">The Court goes on to differentiate this case </w:t>
      </w:r>
      <w:r w:rsidR="00CC38E2">
        <w:t>from</w:t>
      </w:r>
      <w:r>
        <w:t xml:space="preserve"> prior precedents. Most importantly, the Court observes, the segregated schools</w:t>
      </w:r>
      <w:r w:rsidRPr="002C00FE">
        <w:t xml:space="preserve"> </w:t>
      </w:r>
      <w:r>
        <w:t>in the current case are equal in terms of “tangible factors” like facilities, teachers</w:t>
      </w:r>
      <w:r w:rsidR="00521905">
        <w:t>,</w:t>
      </w:r>
      <w:r>
        <w:t xml:space="preserve"> and curricula, </w:t>
      </w:r>
      <w:r w:rsidR="00521905">
        <w:t xml:space="preserve">satisfying </w:t>
      </w:r>
      <w:r>
        <w:t xml:space="preserve">the requirements of “separate but equal.” Still, the plaintiffs </w:t>
      </w:r>
      <w:r w:rsidR="00F42C99">
        <w:t>contend</w:t>
      </w:r>
      <w:r>
        <w:t xml:space="preserve"> that the segregated schools are unequal </w:t>
      </w:r>
      <w:r w:rsidRPr="00F50ABE">
        <w:rPr>
          <w:i/>
          <w:iCs/>
        </w:rPr>
        <w:t>despite</w:t>
      </w:r>
      <w:r>
        <w:t xml:space="preserve"> being equal in those tangible aspects, which,</w:t>
      </w:r>
      <w:r w:rsidR="00F42C99">
        <w:t xml:space="preserve"> </w:t>
      </w:r>
      <w:r>
        <w:t xml:space="preserve">the Court interprets, amounts to a direct challenge to the “separate but equal” doctrine. That’s what the Court means when it says “[w]e must look instead to the effect of segregation </w:t>
      </w:r>
      <w:r w:rsidRPr="00672A96">
        <w:t>itself</w:t>
      </w:r>
      <w:r>
        <w:t>,” rather than factors merely associated with segregation (facilities, teachers, etc.), “on public education.”</w:t>
      </w:r>
    </w:p>
    <w:p w14:paraId="65D3AAB7" w14:textId="77777777" w:rsidR="00BC3C1E" w:rsidRDefault="00BC3C1E" w:rsidP="00BC3C1E">
      <w:pPr>
        <w:pStyle w:val="ListParagraph"/>
      </w:pPr>
      <w:r>
        <w:t>Why does the Court specifically make a point about the significance of education?</w:t>
      </w:r>
    </w:p>
    <w:p w14:paraId="04491224" w14:textId="77777777" w:rsidR="00BC3C1E" w:rsidRDefault="00BC3C1E" w:rsidP="00BC3C1E">
      <w:pPr>
        <w:pStyle w:val="ListParagraph"/>
      </w:pPr>
      <w:r>
        <w:t>What is the question presented? And what is the Court’s answer?</w:t>
      </w:r>
    </w:p>
    <w:p w14:paraId="02499286" w14:textId="77777777" w:rsidR="00BC3C1E" w:rsidRPr="00E30040" w:rsidRDefault="00BC3C1E" w:rsidP="00BC3C1E">
      <w:pPr>
        <w:pStyle w:val="ListParagraph"/>
        <w:rPr>
          <w:b/>
          <w:bCs/>
        </w:rPr>
      </w:pPr>
      <w:r w:rsidRPr="00E30040">
        <w:rPr>
          <w:b/>
          <w:bCs/>
        </w:rPr>
        <w:t>What is the Court’s justification for its answer?</w:t>
      </w:r>
    </w:p>
    <w:p w14:paraId="5B86CEEF" w14:textId="77777777" w:rsidR="00BC3C1E" w:rsidRDefault="00BC3C1E" w:rsidP="00BC3C1E"/>
    <w:p w14:paraId="5DBD7FC4" w14:textId="1B482CDE" w:rsidR="00BC3C1E" w:rsidRDefault="00BC3C1E" w:rsidP="00BC3C1E"/>
    <w:p w14:paraId="3AEDF4E0" w14:textId="77777777" w:rsidR="005B2473" w:rsidRDefault="005B2473" w:rsidP="00BC3C1E"/>
    <w:p w14:paraId="49DB63FC" w14:textId="77777777" w:rsidR="00BC3C1E" w:rsidRDefault="00BC3C1E" w:rsidP="00BC3C1E"/>
    <w:p w14:paraId="62B0A5E7" w14:textId="77777777" w:rsidR="008B6876" w:rsidRDefault="008B6876" w:rsidP="00BC3C1E"/>
    <w:p w14:paraId="098BE108" w14:textId="77777777" w:rsidR="008B6876" w:rsidRDefault="008B6876" w:rsidP="00BC3C1E"/>
    <w:p w14:paraId="20CCC8D4" w14:textId="77777777" w:rsidR="008B6876" w:rsidRDefault="008B6876" w:rsidP="00BC3C1E"/>
    <w:p w14:paraId="40C6E28F" w14:textId="77777777" w:rsidR="008B6876" w:rsidRDefault="008B6876" w:rsidP="00BC3C1E"/>
    <w:p w14:paraId="5E5DBAB5" w14:textId="77777777" w:rsidR="008B6876" w:rsidRDefault="008B6876" w:rsidP="00BC3C1E"/>
    <w:p w14:paraId="77265C49" w14:textId="77777777" w:rsidR="008B6876" w:rsidRDefault="008B6876" w:rsidP="00BC3C1E"/>
    <w:p w14:paraId="01740EC1" w14:textId="77777777" w:rsidR="008B6876" w:rsidRDefault="008B6876" w:rsidP="00BC3C1E"/>
    <w:p w14:paraId="009795F7" w14:textId="5ADF2071" w:rsidR="00BC3C1E" w:rsidRDefault="00BC3C1E" w:rsidP="00BC3C1E">
      <w:pPr>
        <w:pStyle w:val="ListParagraph"/>
      </w:pPr>
      <w:r>
        <w:t xml:space="preserve">Among the psychological studies the Court cites in support of its </w:t>
      </w:r>
      <w:r w:rsidRPr="002C00FE">
        <w:t xml:space="preserve">answer </w:t>
      </w:r>
      <w:r>
        <w:t xml:space="preserve">is </w:t>
      </w:r>
      <w:r w:rsidRPr="000766F3">
        <w:t>Kenneth and Mamie Clark</w:t>
      </w:r>
      <w:r>
        <w:t xml:space="preserve">’s </w:t>
      </w:r>
      <w:r w:rsidR="008B6876">
        <w:t xml:space="preserve">famous </w:t>
      </w:r>
      <w:r>
        <w:t xml:space="preserve">doll study, which you can learn more about here: </w:t>
      </w:r>
      <w:hyperlink r:id="rId8" w:history="1">
        <w:r w:rsidRPr="00274246">
          <w:rPr>
            <w:rStyle w:val="Hyperlink"/>
          </w:rPr>
          <w:t>https://www.youtube.com/watch?v=a7sX1cn5aO4</w:t>
        </w:r>
      </w:hyperlink>
      <w:r>
        <w:t>.</w:t>
      </w:r>
    </w:p>
    <w:p w14:paraId="5260C8EC" w14:textId="12ACD5FC" w:rsidR="00BC3C1E" w:rsidRPr="00854988" w:rsidRDefault="005B2473" w:rsidP="00BC3C1E">
      <w:pPr>
        <w:pStyle w:val="ListParagraph"/>
      </w:pPr>
      <w:r>
        <w:lastRenderedPageBreak/>
        <w:t>Please s</w:t>
      </w:r>
      <w:r w:rsidR="00BC3C1E">
        <w:t>kim the rest of the opinion. The Court notes that it will consider the question of implementation separately</w:t>
      </w:r>
      <w:r w:rsidR="00501C0E">
        <w:t>. In</w:t>
      </w:r>
      <w:r w:rsidR="00BC3C1E">
        <w:t xml:space="preserve"> </w:t>
      </w:r>
      <w:r w:rsidR="00BC3C1E" w:rsidRPr="000766F3">
        <w:rPr>
          <w:i/>
          <w:iCs/>
        </w:rPr>
        <w:t>Brown II</w:t>
      </w:r>
      <w:r w:rsidR="00501C0E">
        <w:t>,</w:t>
      </w:r>
      <w:r w:rsidR="00BC3C1E">
        <w:t xml:space="preserve"> the Court </w:t>
      </w:r>
      <w:r w:rsidR="00501C0E">
        <w:t xml:space="preserve">would </w:t>
      </w:r>
      <w:r w:rsidR="00BC3C1E">
        <w:t xml:space="preserve">announce that </w:t>
      </w:r>
      <w:r w:rsidR="00BC3C1E" w:rsidRPr="000766F3">
        <w:rPr>
          <w:i/>
          <w:iCs/>
        </w:rPr>
        <w:t>Brown I</w:t>
      </w:r>
      <w:r w:rsidR="00BC3C1E" w:rsidRPr="000766F3">
        <w:t xml:space="preserve"> </w:t>
      </w:r>
      <w:r w:rsidR="00501C0E">
        <w:t>was</w:t>
      </w:r>
      <w:r w:rsidR="00BC3C1E">
        <w:t xml:space="preserve"> to be implemented “</w:t>
      </w:r>
      <w:r w:rsidR="00BC3C1E" w:rsidRPr="000766F3">
        <w:t>with all deliberate speed.”</w:t>
      </w:r>
    </w:p>
    <w:p w14:paraId="1CC626CC" w14:textId="4E2894E6" w:rsidR="00F22A5E" w:rsidRDefault="00F22A5E" w:rsidP="00F22A5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F22A5E">
        <w:rPr>
          <w:rFonts w:eastAsia="Times New Roman" w:cs="Times New Roman"/>
          <w:b/>
          <w:bCs/>
          <w:szCs w:val="21"/>
        </w:rPr>
        <w:t>Smith v. United States</w:t>
      </w:r>
      <w:r w:rsidRPr="00F22A5E">
        <w:rPr>
          <w:rFonts w:eastAsia="Times New Roman" w:cs="Times New Roman"/>
          <w:b/>
          <w:bCs/>
          <w:i w:val="0"/>
          <w:iCs w:val="0"/>
          <w:szCs w:val="21"/>
        </w:rPr>
        <w:t xml:space="preserve"> (1993)</w:t>
      </w:r>
    </w:p>
    <w:p w14:paraId="05E512ED" w14:textId="58D114D9" w:rsidR="00290FA8" w:rsidRPr="00290FA8" w:rsidRDefault="00290FA8" w:rsidP="00290FA8">
      <w:pPr>
        <w:pStyle w:val="Heading2"/>
      </w:pPr>
      <w:r>
        <w:t>Opinion of the Court</w:t>
      </w:r>
    </w:p>
    <w:p w14:paraId="27948042" w14:textId="45B4846A" w:rsidR="00290FA8" w:rsidRDefault="00BC3C1E" w:rsidP="00E30040">
      <w:pPr>
        <w:pStyle w:val="ListParagraph"/>
      </w:pPr>
      <w:r>
        <w:t>The Court’s opinion s</w:t>
      </w:r>
      <w:r w:rsidR="00290FA8">
        <w:t>tart</w:t>
      </w:r>
      <w:r>
        <w:t>s</w:t>
      </w:r>
      <w:r w:rsidR="00290FA8">
        <w:t xml:space="preserve"> on p. 225.</w:t>
      </w:r>
    </w:p>
    <w:p w14:paraId="51D63D59" w14:textId="376B8705" w:rsidR="00E30040" w:rsidRDefault="00290FA8" w:rsidP="00E30040">
      <w:pPr>
        <w:pStyle w:val="ListParagraph"/>
      </w:pPr>
      <w:r>
        <w:t>What is the question</w:t>
      </w:r>
      <w:r w:rsidR="00501C0E">
        <w:t xml:space="preserve"> that</w:t>
      </w:r>
      <w:r>
        <w:t xml:space="preserve"> the Court decides today?</w:t>
      </w:r>
    </w:p>
    <w:p w14:paraId="7DB410A1" w14:textId="5E7EA9AB" w:rsidR="00290FA8" w:rsidRDefault="00290FA8" w:rsidP="00E30040">
      <w:pPr>
        <w:pStyle w:val="ListParagraph"/>
      </w:pPr>
      <w:r>
        <w:t xml:space="preserve">Skim Section I. Note the facts of the case, the enhanced sentence </w:t>
      </w:r>
      <w:r w:rsidR="00B37B23">
        <w:t>Mr. Smith</w:t>
      </w:r>
      <w:r>
        <w:t xml:space="preserve"> would receive if the Court were to rule against him</w:t>
      </w:r>
      <w:r w:rsidR="00B37B23">
        <w:t>,</w:t>
      </w:r>
      <w:r w:rsidR="00B2600F">
        <w:t xml:space="preserve"> </w:t>
      </w:r>
      <w:r>
        <w:t xml:space="preserve">and </w:t>
      </w:r>
      <w:r w:rsidR="00B37B23">
        <w:t>his</w:t>
      </w:r>
      <w:r>
        <w:t xml:space="preserve"> argument. (Note also that the Court granted cert because there was a circuit split on the</w:t>
      </w:r>
      <w:r w:rsidR="00C35F02">
        <w:t xml:space="preserve"> underlying</w:t>
      </w:r>
      <w:r>
        <w:t xml:space="preserve"> legal issue.)</w:t>
      </w:r>
    </w:p>
    <w:p w14:paraId="54A90CB7" w14:textId="5A44B3E3" w:rsidR="00290FA8" w:rsidRDefault="001F1E2F" w:rsidP="00E30040">
      <w:pPr>
        <w:pStyle w:val="ListParagraph"/>
      </w:pPr>
      <w:r>
        <w:t>Pp. 227–28</w:t>
      </w:r>
      <w:r w:rsidR="00290FA8">
        <w:t>: Note that the language of the statute is</w:t>
      </w:r>
      <w:r>
        <w:t xml:space="preserve"> </w:t>
      </w:r>
      <w:r w:rsidR="00C272E4">
        <w:t>super</w:t>
      </w:r>
      <w:r>
        <w:t xml:space="preserve"> broad—it encompasses not only </w:t>
      </w:r>
      <w:r w:rsidR="005B2473">
        <w:t xml:space="preserve">the </w:t>
      </w:r>
      <w:r>
        <w:t>“</w:t>
      </w:r>
      <w:proofErr w:type="gramStart"/>
      <w:r>
        <w:t>use[</w:t>
      </w:r>
      <w:proofErr w:type="gramEnd"/>
      <w:r>
        <w:t xml:space="preserve">]” but also </w:t>
      </w:r>
      <w:r w:rsidR="005B2473">
        <w:t xml:space="preserve">the </w:t>
      </w:r>
      <w:r>
        <w:t>“</w:t>
      </w:r>
      <w:proofErr w:type="spellStart"/>
      <w:r>
        <w:t>carri</w:t>
      </w:r>
      <w:proofErr w:type="spellEnd"/>
      <w:r>
        <w:t>[ng]</w:t>
      </w:r>
      <w:r w:rsidR="005B2473">
        <w:t>” of a firearm</w:t>
      </w:r>
      <w:r>
        <w:t xml:space="preserve"> </w:t>
      </w:r>
      <w:r w:rsidR="005B2473">
        <w:t xml:space="preserve">in the relevant situation. </w:t>
      </w:r>
      <w:r>
        <w:t xml:space="preserve">However, </w:t>
      </w:r>
      <w:r w:rsidR="00C272E4">
        <w:t>Mr. Smith</w:t>
      </w:r>
      <w:r>
        <w:t xml:space="preserve"> was indicted specifically for </w:t>
      </w:r>
      <w:r w:rsidRPr="005B2473">
        <w:rPr>
          <w:i/>
          <w:iCs/>
        </w:rPr>
        <w:t>using</w:t>
      </w:r>
      <w:r w:rsidR="00C272E4">
        <w:t>, not carrying,</w:t>
      </w:r>
      <w:r>
        <w:t xml:space="preserve"> a firearm.</w:t>
      </w:r>
    </w:p>
    <w:p w14:paraId="47D24C9B" w14:textId="34A01B1C" w:rsidR="001F1E2F" w:rsidRDefault="001F1E2F" w:rsidP="00E30040">
      <w:pPr>
        <w:pStyle w:val="ListParagraph"/>
      </w:pPr>
      <w:r>
        <w:t xml:space="preserve">Pp. 228–29: How does the Court </w:t>
      </w:r>
      <w:proofErr w:type="gramStart"/>
      <w:r>
        <w:t>come to the conclusion</w:t>
      </w:r>
      <w:proofErr w:type="gramEnd"/>
      <w:r>
        <w:t xml:space="preserve"> that </w:t>
      </w:r>
      <w:r w:rsidR="00FE44F7">
        <w:t>Mr. Smith</w:t>
      </w:r>
      <w:r>
        <w:t xml:space="preserve"> did </w:t>
      </w:r>
      <w:r w:rsidRPr="00772697">
        <w:rPr>
          <w:i/>
          <w:iCs/>
        </w:rPr>
        <w:t>use</w:t>
      </w:r>
      <w:r>
        <w:t xml:space="preserve"> a firearm</w:t>
      </w:r>
      <w:r w:rsidR="00FE44F7">
        <w:t xml:space="preserve"> within the meaning of the statute</w:t>
      </w:r>
      <w:r>
        <w:t>?</w:t>
      </w:r>
    </w:p>
    <w:p w14:paraId="5524EFB1" w14:textId="1B51A726" w:rsidR="001F1E2F" w:rsidRDefault="001F1E2F" w:rsidP="00E30040">
      <w:pPr>
        <w:pStyle w:val="ListParagraph"/>
      </w:pPr>
      <w:r>
        <w:t>Pp. 229</w:t>
      </w:r>
      <w:r>
        <w:softHyphen/>
        <w:t>–3</w:t>
      </w:r>
      <w:r w:rsidR="00A67E7D">
        <w:t>1</w:t>
      </w:r>
      <w:r>
        <w:t xml:space="preserve">: What are the Court’s responses to </w:t>
      </w:r>
      <w:r w:rsidR="00B90045">
        <w:t>Mr. Smith’s</w:t>
      </w:r>
      <w:r>
        <w:t xml:space="preserve"> and the dissent’s objections?</w:t>
      </w:r>
    </w:p>
    <w:p w14:paraId="73F2C02F" w14:textId="3EB8837C" w:rsidR="00A67E7D" w:rsidRDefault="00A67E7D" w:rsidP="00E30040">
      <w:pPr>
        <w:pStyle w:val="ListParagraph"/>
      </w:pPr>
      <w:r>
        <w:t xml:space="preserve">Skip the rest of the </w:t>
      </w:r>
      <w:r w:rsidR="0088007A">
        <w:t>majority opinion.</w:t>
      </w:r>
    </w:p>
    <w:p w14:paraId="5868B1E7" w14:textId="5CD9CBA1" w:rsidR="0088007A" w:rsidRDefault="0088007A" w:rsidP="0088007A">
      <w:pPr>
        <w:pStyle w:val="Heading2"/>
      </w:pPr>
      <w:r>
        <w:t>Justice Scalia’s Dissent</w:t>
      </w:r>
    </w:p>
    <w:p w14:paraId="3B37ADCF" w14:textId="7AE70F1A" w:rsidR="0088007A" w:rsidRDefault="0088007A" w:rsidP="00460A9D">
      <w:pPr>
        <w:pStyle w:val="ListParagraph"/>
      </w:pPr>
      <w:r>
        <w:t xml:space="preserve">Both the majority and the dissent seem to agree </w:t>
      </w:r>
      <w:r w:rsidR="00B90045">
        <w:t xml:space="preserve">that </w:t>
      </w:r>
      <w:r>
        <w:t xml:space="preserve">the troubling phrase should be interpreted according to its “ordinary” meaning, but they disagree </w:t>
      </w:r>
      <w:r w:rsidR="00C35F02">
        <w:t>on</w:t>
      </w:r>
      <w:r>
        <w:t xml:space="preserve"> just what that meaning is.</w:t>
      </w:r>
    </w:p>
    <w:p w14:paraId="4A874FC2" w14:textId="782CE28E" w:rsidR="0088007A" w:rsidRDefault="0088007A" w:rsidP="00A84667">
      <w:pPr>
        <w:pStyle w:val="ListParagraph"/>
      </w:pPr>
      <w:r>
        <w:t xml:space="preserve">Pp. 242–43: What does </w:t>
      </w:r>
      <w:r w:rsidR="00B90045">
        <w:t xml:space="preserve">Justice </w:t>
      </w:r>
      <w:r>
        <w:t xml:space="preserve">Scalia take the ordinary meaning of “use” to be? What is </w:t>
      </w:r>
      <w:r w:rsidR="00B90045">
        <w:t>his</w:t>
      </w:r>
      <w:r>
        <w:t xml:space="preserve"> objection to the majority’s reading?</w:t>
      </w:r>
    </w:p>
    <w:p w14:paraId="67ADF04A" w14:textId="3AAF7F92" w:rsidR="0088007A" w:rsidRPr="00E30040" w:rsidRDefault="0088007A" w:rsidP="00A84667">
      <w:pPr>
        <w:pStyle w:val="ListParagraph"/>
      </w:pPr>
      <w:r>
        <w:t>Skip the rest of the dissent.</w:t>
      </w:r>
    </w:p>
    <w:p w14:paraId="7CB71EEE" w14:textId="7C424A29" w:rsidR="00F22A5E" w:rsidRDefault="00F22A5E" w:rsidP="00F22A5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F22A5E">
        <w:rPr>
          <w:rFonts w:eastAsia="Times New Roman" w:cs="Times New Roman"/>
          <w:b/>
          <w:bCs/>
          <w:i w:val="0"/>
          <w:iCs w:val="0"/>
          <w:szCs w:val="21"/>
        </w:rPr>
        <w:t>Antonin Scalia, “Common-Law Courts in a Civil-Law System: The</w:t>
      </w:r>
      <w:r>
        <w:rPr>
          <w:rFonts w:eastAsia="Times New Roman" w:cs="Times New Roman"/>
          <w:b/>
          <w:bCs/>
          <w:i w:val="0"/>
          <w:iCs w:val="0"/>
          <w:szCs w:val="21"/>
        </w:rPr>
        <w:t xml:space="preserve"> </w:t>
      </w:r>
      <w:r w:rsidRPr="00F22A5E">
        <w:rPr>
          <w:rFonts w:eastAsia="Times New Roman" w:cs="Times New Roman"/>
          <w:b/>
          <w:bCs/>
          <w:i w:val="0"/>
          <w:iCs w:val="0"/>
          <w:szCs w:val="21"/>
        </w:rPr>
        <w:t>Role of United States Federal Courts in Interpreting the Constitution</w:t>
      </w:r>
      <w:r>
        <w:rPr>
          <w:rFonts w:eastAsia="Times New Roman" w:cs="Times New Roman"/>
          <w:b/>
          <w:bCs/>
          <w:i w:val="0"/>
          <w:iCs w:val="0"/>
          <w:szCs w:val="21"/>
        </w:rPr>
        <w:t xml:space="preserve"> </w:t>
      </w:r>
      <w:r w:rsidRPr="00F22A5E">
        <w:rPr>
          <w:rFonts w:eastAsia="Times New Roman" w:cs="Times New Roman"/>
          <w:b/>
          <w:bCs/>
          <w:i w:val="0"/>
          <w:iCs w:val="0"/>
          <w:szCs w:val="21"/>
        </w:rPr>
        <w:t>and Laws”</w:t>
      </w:r>
    </w:p>
    <w:p w14:paraId="53BB7BB4" w14:textId="502C463A" w:rsidR="00F34A11" w:rsidRDefault="00F34A11" w:rsidP="00F34A11">
      <w:pPr>
        <w:pStyle w:val="Heading2"/>
      </w:pPr>
      <w:r>
        <w:t>The Science of Statutory Interpretation</w:t>
      </w:r>
    </w:p>
    <w:p w14:paraId="4D8EF862" w14:textId="2CB4AC0C" w:rsidR="00F34A11" w:rsidRPr="00F34A11" w:rsidRDefault="00236D8A" w:rsidP="00F34A11">
      <w:pPr>
        <w:pStyle w:val="ListParagraph"/>
      </w:pPr>
      <w:r>
        <w:t xml:space="preserve">We </w:t>
      </w:r>
      <w:r w:rsidR="00C35F02">
        <w:t>start</w:t>
      </w:r>
      <w:r>
        <w:t xml:space="preserve"> on p. 14. </w:t>
      </w:r>
      <w:r w:rsidR="005B2473">
        <w:t>Please s</w:t>
      </w:r>
      <w:r w:rsidR="00F34A11">
        <w:t xml:space="preserve">kim </w:t>
      </w:r>
      <w:r>
        <w:t>this</w:t>
      </w:r>
      <w:r w:rsidR="00F34A11">
        <w:t xml:space="preserve"> section</w:t>
      </w:r>
      <w:r>
        <w:t>,</w:t>
      </w:r>
      <w:r w:rsidR="00C35F02">
        <w:t xml:space="preserve"> where</w:t>
      </w:r>
      <w:r w:rsidR="00F34A11">
        <w:t xml:space="preserve"> </w:t>
      </w:r>
      <w:r w:rsidR="00C218D5">
        <w:t xml:space="preserve">Justice </w:t>
      </w:r>
      <w:r w:rsidR="00F34A11">
        <w:t>Scalia sets the stage for his theory of statutory (and constitutional) interpretation.</w:t>
      </w:r>
    </w:p>
    <w:p w14:paraId="78956974" w14:textId="77777777" w:rsidR="0098254B" w:rsidRDefault="0098254B" w:rsidP="0098254B">
      <w:pPr>
        <w:pStyle w:val="Heading2"/>
      </w:pPr>
      <w:r>
        <w:lastRenderedPageBreak/>
        <w:t>Intent of the Legislature</w:t>
      </w:r>
    </w:p>
    <w:p w14:paraId="16FB71C4" w14:textId="412706E4" w:rsidR="0098254B" w:rsidRDefault="00F34A11" w:rsidP="00183094">
      <w:pPr>
        <w:pStyle w:val="ListParagraph"/>
      </w:pPr>
      <w:r>
        <w:t>What</w:t>
      </w:r>
      <w:r w:rsidR="0098254B">
        <w:t xml:space="preserve"> “basic question” </w:t>
      </w:r>
      <w:r>
        <w:t>does Scalia begin with?</w:t>
      </w:r>
    </w:p>
    <w:p w14:paraId="474831F6" w14:textId="4A553DDB" w:rsidR="0098254B" w:rsidRPr="000A6D48" w:rsidRDefault="0098254B" w:rsidP="00183094">
      <w:pPr>
        <w:pStyle w:val="ListParagraph"/>
      </w:pPr>
      <w:r w:rsidRPr="000A6D48">
        <w:t>What is the difference between subjective and “objectified” intent?</w:t>
      </w:r>
    </w:p>
    <w:p w14:paraId="37B18854" w14:textId="1140391D" w:rsidR="0098254B" w:rsidRPr="005B2473" w:rsidRDefault="0098254B" w:rsidP="00183094">
      <w:pPr>
        <w:pStyle w:val="ListParagraph"/>
        <w:rPr>
          <w:b/>
          <w:bCs/>
        </w:rPr>
      </w:pPr>
      <w:r w:rsidRPr="005B2473">
        <w:rPr>
          <w:b/>
          <w:bCs/>
        </w:rPr>
        <w:t>What are the reasons</w:t>
      </w:r>
      <w:r w:rsidR="00236D8A" w:rsidRPr="005B2473">
        <w:rPr>
          <w:b/>
          <w:bCs/>
        </w:rPr>
        <w:t>, according to Scalia,</w:t>
      </w:r>
      <w:r w:rsidRPr="005B2473">
        <w:rPr>
          <w:b/>
          <w:bCs/>
        </w:rPr>
        <w:t xml:space="preserve"> for </w:t>
      </w:r>
      <w:r w:rsidR="00236D8A" w:rsidRPr="005B2473">
        <w:rPr>
          <w:b/>
          <w:bCs/>
        </w:rPr>
        <w:t>preferring</w:t>
      </w:r>
      <w:r w:rsidRPr="005B2473">
        <w:rPr>
          <w:b/>
          <w:bCs/>
        </w:rPr>
        <w:t xml:space="preserve"> objectified intent</w:t>
      </w:r>
      <w:r w:rsidR="00236D8A" w:rsidRPr="005B2473">
        <w:rPr>
          <w:b/>
          <w:bCs/>
        </w:rPr>
        <w:t xml:space="preserve"> to subjective intent</w:t>
      </w:r>
      <w:r w:rsidRPr="005B2473">
        <w:rPr>
          <w:b/>
          <w:bCs/>
        </w:rPr>
        <w:t>?</w:t>
      </w:r>
    </w:p>
    <w:p w14:paraId="67DBD0AB" w14:textId="0A3991F8" w:rsidR="005B2473" w:rsidRDefault="005B2473" w:rsidP="005B2473"/>
    <w:p w14:paraId="5DA19F19" w14:textId="1C617147" w:rsidR="005B2473" w:rsidRDefault="005B2473" w:rsidP="005B2473"/>
    <w:p w14:paraId="6143798C" w14:textId="749AD802" w:rsidR="005B2473" w:rsidRDefault="005B2473" w:rsidP="005B2473"/>
    <w:p w14:paraId="735DB0FF" w14:textId="77777777" w:rsidR="005B2473" w:rsidRDefault="005B2473" w:rsidP="005B2473"/>
    <w:p w14:paraId="36A2A711" w14:textId="77777777" w:rsidR="00707305" w:rsidRDefault="00707305" w:rsidP="005B2473"/>
    <w:p w14:paraId="4CAFB94A" w14:textId="77777777" w:rsidR="00707305" w:rsidRDefault="00707305" w:rsidP="005B2473"/>
    <w:p w14:paraId="30C7CFD0" w14:textId="77777777" w:rsidR="0098254B" w:rsidRDefault="0098254B" w:rsidP="0098254B">
      <w:pPr>
        <w:pStyle w:val="Heading2"/>
      </w:pPr>
      <w:r>
        <w:t>Church of the Holy Trinity</w:t>
      </w:r>
    </w:p>
    <w:p w14:paraId="7C7C3B78" w14:textId="663C91ED" w:rsidR="0098254B" w:rsidRDefault="0098254B" w:rsidP="00183094">
      <w:pPr>
        <w:pStyle w:val="ListParagraph"/>
      </w:pPr>
      <w:r>
        <w:t xml:space="preserve">Scalia uses his disagreement with the Court’s ruling in </w:t>
      </w:r>
      <w:r w:rsidRPr="00C57B45">
        <w:rPr>
          <w:i/>
          <w:iCs/>
        </w:rPr>
        <w:t>Holy Trinity</w:t>
      </w:r>
      <w:r>
        <w:t xml:space="preserve"> to </w:t>
      </w:r>
      <w:r w:rsidR="00236D8A">
        <w:t>motivate</w:t>
      </w:r>
      <w:r>
        <w:t xml:space="preserve"> </w:t>
      </w:r>
      <w:r w:rsidR="00236D8A">
        <w:t>an</w:t>
      </w:r>
      <w:r>
        <w:t xml:space="preserve"> argument against objectified intent. What is </w:t>
      </w:r>
      <w:r w:rsidR="00236D8A">
        <w:t>this</w:t>
      </w:r>
      <w:r>
        <w:t xml:space="preserve"> argument?</w:t>
      </w:r>
    </w:p>
    <w:p w14:paraId="450273CA" w14:textId="77777777" w:rsidR="0098254B" w:rsidRDefault="0098254B" w:rsidP="00183094">
      <w:pPr>
        <w:pStyle w:val="ListParagraph"/>
      </w:pPr>
      <w:r>
        <w:t xml:space="preserve">Skip the discussion of </w:t>
      </w:r>
      <w:proofErr w:type="spellStart"/>
      <w:r w:rsidRPr="006866C1">
        <w:t>Calabresi</w:t>
      </w:r>
      <w:proofErr w:type="spellEnd"/>
      <w:r>
        <w:t xml:space="preserve"> and </w:t>
      </w:r>
      <w:r w:rsidRPr="006866C1">
        <w:t>Eskridge</w:t>
      </w:r>
      <w:r>
        <w:t>.</w:t>
      </w:r>
    </w:p>
    <w:p w14:paraId="0A20D657" w14:textId="3C4DAC42" w:rsidR="0098254B" w:rsidRPr="00BE506A" w:rsidRDefault="0098254B" w:rsidP="00183094">
      <w:pPr>
        <w:pStyle w:val="ListParagraph"/>
        <w:rPr>
          <w:b/>
          <w:bCs/>
        </w:rPr>
      </w:pPr>
      <w:r w:rsidRPr="00BE506A">
        <w:rPr>
          <w:b/>
          <w:bCs/>
        </w:rPr>
        <w:t xml:space="preserve">Why does Scalia think </w:t>
      </w:r>
      <w:r w:rsidRPr="00BE506A">
        <w:rPr>
          <w:b/>
          <w:bCs/>
          <w:i/>
          <w:iCs/>
        </w:rPr>
        <w:t xml:space="preserve">Holy Trinity </w:t>
      </w:r>
      <w:r w:rsidR="00236D8A" w:rsidRPr="00BE506A">
        <w:rPr>
          <w:b/>
          <w:bCs/>
        </w:rPr>
        <w:t>was</w:t>
      </w:r>
      <w:r w:rsidRPr="00BE506A">
        <w:rPr>
          <w:b/>
          <w:bCs/>
        </w:rPr>
        <w:t xml:space="preserve"> wrong</w:t>
      </w:r>
      <w:r w:rsidR="00236D8A" w:rsidRPr="00BE506A">
        <w:rPr>
          <w:b/>
          <w:bCs/>
        </w:rPr>
        <w:t>ly decided</w:t>
      </w:r>
      <w:r w:rsidRPr="00BE506A">
        <w:rPr>
          <w:b/>
          <w:bCs/>
        </w:rPr>
        <w:t>?</w:t>
      </w:r>
    </w:p>
    <w:p w14:paraId="0AD6310D" w14:textId="1ED1AB96" w:rsidR="00BE506A" w:rsidRDefault="00BE506A" w:rsidP="00BE506A"/>
    <w:p w14:paraId="6CB0628B" w14:textId="45C17285" w:rsidR="00BE506A" w:rsidRDefault="00BE506A" w:rsidP="00BE506A"/>
    <w:p w14:paraId="29533441" w14:textId="78087694" w:rsidR="00BE506A" w:rsidRDefault="00BE506A" w:rsidP="00BE506A"/>
    <w:p w14:paraId="77BA0B37" w14:textId="5B55F7D3" w:rsidR="00BE506A" w:rsidRDefault="00BE506A" w:rsidP="00BE506A"/>
    <w:p w14:paraId="0C9D872E" w14:textId="77777777" w:rsidR="00707305" w:rsidRDefault="00707305" w:rsidP="00BE506A"/>
    <w:p w14:paraId="47025B46" w14:textId="77777777" w:rsidR="00707305" w:rsidRDefault="00707305" w:rsidP="00BE506A"/>
    <w:p w14:paraId="28CB85CC" w14:textId="77777777" w:rsidR="0098254B" w:rsidRDefault="0098254B" w:rsidP="0098254B">
      <w:pPr>
        <w:pStyle w:val="Heading2"/>
      </w:pPr>
      <w:r>
        <w:t>Textualism</w:t>
      </w:r>
    </w:p>
    <w:p w14:paraId="22D8B3CF" w14:textId="5F21289C" w:rsidR="0098254B" w:rsidRPr="00DF0C41" w:rsidRDefault="00236D8A" w:rsidP="00183094">
      <w:pPr>
        <w:pStyle w:val="ListParagraph"/>
        <w:rPr>
          <w:b/>
          <w:bCs/>
        </w:rPr>
      </w:pPr>
      <w:r>
        <w:rPr>
          <w:b/>
          <w:bCs/>
        </w:rPr>
        <w:t>Scalia</w:t>
      </w:r>
      <w:r w:rsidR="00BE506A">
        <w:rPr>
          <w:b/>
          <w:bCs/>
        </w:rPr>
        <w:t xml:space="preserve"> then</w:t>
      </w:r>
      <w:r>
        <w:rPr>
          <w:b/>
          <w:bCs/>
        </w:rPr>
        <w:t xml:space="preserve"> uses </w:t>
      </w:r>
      <w:r w:rsidRPr="00236D8A">
        <w:rPr>
          <w:b/>
          <w:bCs/>
          <w:i/>
          <w:iCs/>
        </w:rPr>
        <w:t>Smith</w:t>
      </w:r>
      <w:r>
        <w:rPr>
          <w:b/>
          <w:bCs/>
        </w:rPr>
        <w:t xml:space="preserve"> to illustrate the difference between </w:t>
      </w:r>
      <w:r w:rsidR="00BE506A">
        <w:rPr>
          <w:b/>
          <w:bCs/>
        </w:rPr>
        <w:t xml:space="preserve">his </w:t>
      </w:r>
      <w:r>
        <w:rPr>
          <w:b/>
          <w:bCs/>
        </w:rPr>
        <w:t>(proper) textualism and strict constructionism (</w:t>
      </w:r>
      <w:r w:rsidR="00BE506A">
        <w:rPr>
          <w:b/>
          <w:bCs/>
        </w:rPr>
        <w:t xml:space="preserve">which he calls </w:t>
      </w:r>
      <w:r>
        <w:rPr>
          <w:b/>
          <w:bCs/>
        </w:rPr>
        <w:t xml:space="preserve">“a degraded form of textualism”). </w:t>
      </w:r>
      <w:r w:rsidR="0098254B" w:rsidRPr="00236D8A">
        <w:rPr>
          <w:b/>
          <w:bCs/>
        </w:rPr>
        <w:t>How</w:t>
      </w:r>
      <w:r w:rsidR="0098254B" w:rsidRPr="00DF0C41">
        <w:rPr>
          <w:b/>
          <w:bCs/>
        </w:rPr>
        <w:t xml:space="preserve"> would a strict constructionist interpret </w:t>
      </w:r>
      <w:r w:rsidR="0098254B">
        <w:rPr>
          <w:b/>
          <w:bCs/>
        </w:rPr>
        <w:t xml:space="preserve">the phrase </w:t>
      </w:r>
      <w:r w:rsidR="0098254B" w:rsidRPr="00DF0C41">
        <w:rPr>
          <w:b/>
          <w:bCs/>
        </w:rPr>
        <w:t>“use</w:t>
      </w:r>
      <w:r w:rsidR="0098254B">
        <w:rPr>
          <w:b/>
          <w:bCs/>
        </w:rPr>
        <w:t>s</w:t>
      </w:r>
      <w:r w:rsidR="0098254B" w:rsidRPr="00DF0C41">
        <w:rPr>
          <w:b/>
          <w:bCs/>
        </w:rPr>
        <w:t xml:space="preserve"> a firearm”? </w:t>
      </w:r>
      <w:r w:rsidR="00BE506A">
        <w:rPr>
          <w:b/>
          <w:bCs/>
        </w:rPr>
        <w:t>How</w:t>
      </w:r>
      <w:r w:rsidR="0098254B" w:rsidRPr="00DF0C41">
        <w:rPr>
          <w:b/>
          <w:bCs/>
        </w:rPr>
        <w:t xml:space="preserve"> about a </w:t>
      </w:r>
      <w:r w:rsidR="004A143B">
        <w:rPr>
          <w:b/>
          <w:bCs/>
        </w:rPr>
        <w:t xml:space="preserve">proper </w:t>
      </w:r>
      <w:r w:rsidR="0098254B" w:rsidRPr="00DF0C41">
        <w:rPr>
          <w:b/>
          <w:bCs/>
        </w:rPr>
        <w:t>textualist?</w:t>
      </w:r>
    </w:p>
    <w:p w14:paraId="6E76D7B9" w14:textId="1B6749D1" w:rsidR="0098254B" w:rsidRDefault="0098254B" w:rsidP="0098254B"/>
    <w:p w14:paraId="64879E1B" w14:textId="41C96114" w:rsidR="0098254B" w:rsidRDefault="0098254B" w:rsidP="0098254B"/>
    <w:p w14:paraId="659E0BFD" w14:textId="374D3C22" w:rsidR="0098254B" w:rsidRDefault="0098254B" w:rsidP="0098254B"/>
    <w:p w14:paraId="0AEF4C0A" w14:textId="77777777" w:rsidR="00707305" w:rsidRDefault="00707305" w:rsidP="0098254B"/>
    <w:p w14:paraId="2908C7A2" w14:textId="77777777" w:rsidR="00BE506A" w:rsidRDefault="00BE506A" w:rsidP="0098254B"/>
    <w:p w14:paraId="4C4219B6" w14:textId="77777777" w:rsidR="00707305" w:rsidRDefault="00707305" w:rsidP="0098254B"/>
    <w:p w14:paraId="435CEE49" w14:textId="77777777" w:rsidR="00707305" w:rsidRDefault="00707305" w:rsidP="0098254B"/>
    <w:p w14:paraId="603ED801" w14:textId="77777777" w:rsidR="0098254B" w:rsidRDefault="0098254B" w:rsidP="00183094">
      <w:pPr>
        <w:pStyle w:val="ListParagraph"/>
      </w:pPr>
      <w:r>
        <w:t>Skip the rest of the section.</w:t>
      </w:r>
    </w:p>
    <w:p w14:paraId="65F18BAF" w14:textId="77777777" w:rsidR="0098254B" w:rsidRDefault="0098254B" w:rsidP="0098254B">
      <w:pPr>
        <w:pStyle w:val="Heading2"/>
      </w:pPr>
      <w:r>
        <w:lastRenderedPageBreak/>
        <w:t>Interpreting Constitutional Texts</w:t>
      </w:r>
    </w:p>
    <w:p w14:paraId="09BF2DE2" w14:textId="064FDF31" w:rsidR="00204681" w:rsidRDefault="00236D8A" w:rsidP="00183094">
      <w:pPr>
        <w:pStyle w:val="ListParagraph"/>
      </w:pPr>
      <w:r>
        <w:t xml:space="preserve">We start again on p. 37. </w:t>
      </w:r>
      <w:r w:rsidR="00204681">
        <w:t>Scalia now extends his theory to constitutional interpretation.</w:t>
      </w:r>
    </w:p>
    <w:p w14:paraId="53546B6A" w14:textId="161FC031" w:rsidR="00204681" w:rsidRDefault="00204681" w:rsidP="00183094">
      <w:pPr>
        <w:pStyle w:val="ListParagraph"/>
      </w:pPr>
      <w:r>
        <w:t>What is different about constitutional interpretation according to Scalia?</w:t>
      </w:r>
    </w:p>
    <w:p w14:paraId="2D69E8C1" w14:textId="4458B28A" w:rsidR="00204681" w:rsidRDefault="00204681" w:rsidP="00183094">
      <w:pPr>
        <w:pStyle w:val="ListParagraph"/>
      </w:pPr>
      <w:r>
        <w:t>Notice how, immediately after quoting Chief Justice Marshall at length, Scalia takes care to explain what he takes the quote to mean. This is an excellent example of reader-friendly writing. Just giving someone else’s words does not guarantee readers will understand them the same way you do (</w:t>
      </w:r>
      <w:r w:rsidR="00005320">
        <w:t xml:space="preserve">indeed, </w:t>
      </w:r>
      <w:r>
        <w:t xml:space="preserve">they often </w:t>
      </w:r>
      <w:r w:rsidR="0072774E">
        <w:t>will not</w:t>
      </w:r>
      <w:r w:rsidR="004A143B">
        <w:t>!</w:t>
      </w:r>
      <w:r>
        <w:t xml:space="preserve">). </w:t>
      </w:r>
      <w:r w:rsidR="00005320">
        <w:t xml:space="preserve">Try to do what </w:t>
      </w:r>
      <w:r w:rsidR="00707305">
        <w:t xml:space="preserve">Justice </w:t>
      </w:r>
      <w:r w:rsidR="00005320">
        <w:t xml:space="preserve">Scalia does here </w:t>
      </w:r>
      <w:r>
        <w:t xml:space="preserve">in your own </w:t>
      </w:r>
      <w:r w:rsidR="004A143B">
        <w:t>writing</w:t>
      </w:r>
      <w:r w:rsidR="00005320">
        <w:t>.</w:t>
      </w:r>
    </w:p>
    <w:p w14:paraId="41321518" w14:textId="01BD8D19" w:rsidR="00204681" w:rsidRDefault="00204681" w:rsidP="00183094">
      <w:pPr>
        <w:pStyle w:val="ListParagraph"/>
      </w:pPr>
      <w:r>
        <w:t>How does the 1st Amendment example illustrate Marshall’s point and</w:t>
      </w:r>
      <w:r w:rsidR="00FC1CAE">
        <w:t xml:space="preserve"> </w:t>
      </w:r>
      <w:r>
        <w:t>the difference between Scalia’s textualism and strict constructionism?</w:t>
      </w:r>
    </w:p>
    <w:p w14:paraId="413A1C84" w14:textId="51D67576" w:rsidR="00204681" w:rsidRDefault="00204681" w:rsidP="00183094">
      <w:pPr>
        <w:pStyle w:val="ListParagraph"/>
      </w:pPr>
      <w:r>
        <w:t>For Scalia, there is important continuity between statutory and constitutional interpretation.</w:t>
      </w:r>
    </w:p>
    <w:p w14:paraId="7076CF38" w14:textId="379466A3" w:rsidR="00204681" w:rsidRDefault="00204681" w:rsidP="00183094">
      <w:pPr>
        <w:pStyle w:val="ListParagraph"/>
      </w:pPr>
      <w:r>
        <w:t>Why</w:t>
      </w:r>
      <w:r w:rsidR="004A143B">
        <w:t xml:space="preserve"> does Scalia, as a good textualist,</w:t>
      </w:r>
      <w:r>
        <w:t xml:space="preserve"> read </w:t>
      </w:r>
      <w:r>
        <w:rPr>
          <w:i/>
          <w:iCs/>
        </w:rPr>
        <w:t>The Federalist Papers</w:t>
      </w:r>
      <w:r>
        <w:t xml:space="preserve"> when he tries to interpret the Constitution?</w:t>
      </w:r>
    </w:p>
    <w:p w14:paraId="7E8892EF" w14:textId="634AAEE6" w:rsidR="0098254B" w:rsidRDefault="0098254B" w:rsidP="00183094">
      <w:pPr>
        <w:pStyle w:val="ListParagraph"/>
      </w:pPr>
      <w:r>
        <w:t xml:space="preserve">Note </w:t>
      </w:r>
      <w:r w:rsidR="00204681">
        <w:t>the</w:t>
      </w:r>
      <w:r>
        <w:t xml:space="preserve"> two essential features of </w:t>
      </w:r>
      <w:r w:rsidR="00204681">
        <w:t xml:space="preserve">Scalia’s </w:t>
      </w:r>
      <w:r w:rsidR="004A143B">
        <w:t>blend</w:t>
      </w:r>
      <w:r w:rsidR="00204681">
        <w:t xml:space="preserve"> of</w:t>
      </w:r>
      <w:r>
        <w:t xml:space="preserve"> textualism</w:t>
      </w:r>
      <w:r w:rsidR="004A143B">
        <w:t xml:space="preserve"> and </w:t>
      </w:r>
      <w:r>
        <w:t xml:space="preserve">originalism: it is not strict construction, but </w:t>
      </w:r>
      <w:r w:rsidRPr="00A32B2D">
        <w:rPr>
          <w:i/>
          <w:iCs/>
        </w:rPr>
        <w:t>reasonable</w:t>
      </w:r>
      <w:r>
        <w:t xml:space="preserve"> construction; and it does not look for current meaning, but the </w:t>
      </w:r>
      <w:r w:rsidRPr="00A32B2D">
        <w:rPr>
          <w:i/>
          <w:iCs/>
        </w:rPr>
        <w:t>original</w:t>
      </w:r>
      <w:r>
        <w:t xml:space="preserve"> meaning of the text.</w:t>
      </w:r>
    </w:p>
    <w:p w14:paraId="6103B5F7" w14:textId="79000E9B" w:rsidR="00204681" w:rsidRDefault="00204681" w:rsidP="00183094">
      <w:pPr>
        <w:pStyle w:val="ListParagraph"/>
      </w:pPr>
      <w:r>
        <w:t xml:space="preserve">What is </w:t>
      </w:r>
      <w:r w:rsidR="00BC3C1E">
        <w:t>this</w:t>
      </w:r>
      <w:r>
        <w:t xml:space="preserve"> “Great Divide”?</w:t>
      </w:r>
    </w:p>
    <w:p w14:paraId="5879DD46" w14:textId="77777777" w:rsidR="0098254B" w:rsidRPr="00005320" w:rsidRDefault="0098254B" w:rsidP="00183094">
      <w:pPr>
        <w:pStyle w:val="ListParagraph"/>
        <w:rPr>
          <w:b/>
          <w:bCs/>
        </w:rPr>
      </w:pPr>
      <w:r w:rsidRPr="00005320">
        <w:rPr>
          <w:b/>
          <w:bCs/>
        </w:rPr>
        <w:t>What is “The Living Constitution”? Why does Scalia think The Living Constitution is problematic?</w:t>
      </w:r>
    </w:p>
    <w:p w14:paraId="16B762AE" w14:textId="7FC51254" w:rsidR="00005320" w:rsidRDefault="00005320" w:rsidP="00005320"/>
    <w:p w14:paraId="465D2D3B" w14:textId="7F9D0F11" w:rsidR="00005320" w:rsidRDefault="00005320" w:rsidP="00005320"/>
    <w:p w14:paraId="4757E8D3" w14:textId="128BC4FD" w:rsidR="00005320" w:rsidRDefault="00005320" w:rsidP="00005320"/>
    <w:p w14:paraId="1710EBB0" w14:textId="77777777" w:rsidR="00005320" w:rsidRDefault="00005320" w:rsidP="00005320"/>
    <w:p w14:paraId="06B951CB" w14:textId="77777777" w:rsidR="003C3017" w:rsidRDefault="003C3017" w:rsidP="00005320"/>
    <w:p w14:paraId="653D342F" w14:textId="77777777" w:rsidR="003C3017" w:rsidRDefault="003C3017" w:rsidP="00005320"/>
    <w:p w14:paraId="5E2F251E" w14:textId="77777777" w:rsidR="003C3017" w:rsidRDefault="003C3017" w:rsidP="00005320"/>
    <w:p w14:paraId="61FD50C2" w14:textId="77777777" w:rsidR="003C3017" w:rsidRDefault="003C3017" w:rsidP="00005320"/>
    <w:p w14:paraId="562AA969" w14:textId="5755EECF" w:rsidR="0098254B" w:rsidRPr="0056105C" w:rsidRDefault="0098254B" w:rsidP="00183094">
      <w:pPr>
        <w:pStyle w:val="ListParagraph"/>
      </w:pPr>
      <w:r>
        <w:t>Skip the rest of the section.</w:t>
      </w:r>
    </w:p>
    <w:p w14:paraId="3DB1F8F6" w14:textId="77777777" w:rsidR="0098254B" w:rsidRDefault="0098254B" w:rsidP="0098254B">
      <w:pPr>
        <w:pStyle w:val="Heading2"/>
      </w:pPr>
      <w:r>
        <w:t>Flexibility and Liberality of The Living Constitution</w:t>
      </w:r>
    </w:p>
    <w:p w14:paraId="6FA8CAB5" w14:textId="2B1BC071" w:rsidR="0098254B" w:rsidRDefault="0098254B" w:rsidP="00183094">
      <w:pPr>
        <w:pStyle w:val="ListParagraph"/>
      </w:pPr>
      <w:r>
        <w:t>What is the pragmatic argument for The Living Constitution?</w:t>
      </w:r>
      <w:r w:rsidR="00F7743A">
        <w:t xml:space="preserve"> What is Scalia’s objection?</w:t>
      </w:r>
    </w:p>
    <w:p w14:paraId="39757DB0" w14:textId="35DB8C3A" w:rsidR="0098254B" w:rsidRDefault="0098254B" w:rsidP="00183094">
      <w:pPr>
        <w:pStyle w:val="ListParagraph"/>
      </w:pPr>
      <w:r>
        <w:t>Why does Scalia think The Living Constitution offers less rather than more flexibility?</w:t>
      </w:r>
      <w:r w:rsidR="00F7743A">
        <w:t xml:space="preserve"> (Scalia seems to think the relevant flexibility is “flexibility in government,” not flexibility for the individual</w:t>
      </w:r>
      <w:r w:rsidR="004A143B">
        <w:t>?</w:t>
      </w:r>
      <w:r w:rsidR="00F7743A">
        <w:t>)</w:t>
      </w:r>
    </w:p>
    <w:p w14:paraId="57782464" w14:textId="4BA5A839" w:rsidR="00F7743A" w:rsidRDefault="00F7743A" w:rsidP="00183094">
      <w:pPr>
        <w:pStyle w:val="ListParagraph"/>
      </w:pPr>
      <w:r>
        <w:lastRenderedPageBreak/>
        <w:t>How does the claim that “devotees of The Living Constitution do not seek to facilitate social change but to prevent it” follow from what Scalia just said?</w:t>
      </w:r>
    </w:p>
    <w:p w14:paraId="2D335E29" w14:textId="6A90FF2B" w:rsidR="00F7743A" w:rsidRDefault="00F7743A" w:rsidP="00183094">
      <w:pPr>
        <w:pStyle w:val="ListParagraph"/>
      </w:pPr>
      <w:r>
        <w:t xml:space="preserve">What does Scalia think </w:t>
      </w:r>
      <w:r w:rsidR="00CC25AD">
        <w:t>was</w:t>
      </w:r>
      <w:r>
        <w:t xml:space="preserve"> (part of?) the reason why the Founders enacted the Bill of Rights?</w:t>
      </w:r>
    </w:p>
    <w:p w14:paraId="564B35F8" w14:textId="099595B2" w:rsidR="00F7743A" w:rsidRDefault="001F0ECF" w:rsidP="00183094">
      <w:pPr>
        <w:pStyle w:val="ListParagraph"/>
      </w:pPr>
      <w:r>
        <w:t>Why does Scalia talk about the “purposes” (intention?) of the 6th Amendment if all he cares about is the original meaning of the text?</w:t>
      </w:r>
    </w:p>
    <w:p w14:paraId="47F0AFDB" w14:textId="3E19B451" w:rsidR="001F0ECF" w:rsidRDefault="001F0ECF" w:rsidP="00183094">
      <w:pPr>
        <w:pStyle w:val="ListParagraph"/>
      </w:pPr>
      <w:r>
        <w:t xml:space="preserve">Why does Scalia think allowing juvenile victims of sexual abuse not to confront their abuser face-to-face is a </w:t>
      </w:r>
      <w:r w:rsidRPr="003C3017">
        <w:t>reduction</w:t>
      </w:r>
      <w:r w:rsidR="003C3017">
        <w:t>, not increase,</w:t>
      </w:r>
      <w:r>
        <w:t xml:space="preserve"> in liberty?</w:t>
      </w:r>
    </w:p>
    <w:p w14:paraId="652CA335" w14:textId="77777777" w:rsidR="0098254B" w:rsidRDefault="0098254B" w:rsidP="0098254B">
      <w:pPr>
        <w:pStyle w:val="Heading2"/>
      </w:pPr>
      <w:r>
        <w:t>Lack of a Guiding Principle for Evolution</w:t>
      </w:r>
    </w:p>
    <w:p w14:paraId="16240514" w14:textId="0B519610" w:rsidR="0098254B" w:rsidRPr="0098254B" w:rsidRDefault="0098254B" w:rsidP="00183094">
      <w:pPr>
        <w:pStyle w:val="ListParagraph"/>
      </w:pPr>
      <w:r>
        <w:t xml:space="preserve">Skim this section, but </w:t>
      </w:r>
      <w:r w:rsidR="001F0ECF">
        <w:t>note</w:t>
      </w:r>
      <w:r>
        <w:t xml:space="preserve"> what Scalia says about the death penalty, </w:t>
      </w:r>
      <w:r w:rsidR="001F0ECF">
        <w:t xml:space="preserve">women’s right to vote, and </w:t>
      </w:r>
      <w:r>
        <w:t>the selection and confirmation of judges.</w:t>
      </w:r>
    </w:p>
    <w:p w14:paraId="7B56BAE6" w14:textId="6F75422D" w:rsidR="00C218D5" w:rsidRPr="00C218D5" w:rsidRDefault="00F22A5E" w:rsidP="00C218D5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1F0ECF">
        <w:rPr>
          <w:rFonts w:eastAsia="Times New Roman" w:cs="Times New Roman"/>
          <w:b/>
          <w:bCs/>
          <w:i w:val="0"/>
          <w:iCs w:val="0"/>
          <w:szCs w:val="21"/>
        </w:rPr>
        <w:t>Ronald Dworkin, “Comment”</w:t>
      </w:r>
    </w:p>
    <w:p w14:paraId="136FD005" w14:textId="77777777" w:rsidR="00C218D5" w:rsidRDefault="00C218D5" w:rsidP="00183094">
      <w:pPr>
        <w:pStyle w:val="ListParagraph"/>
      </w:pPr>
      <w:r>
        <w:t>Dworkin’s comments start on p. 115.</w:t>
      </w:r>
    </w:p>
    <w:p w14:paraId="73DED38C" w14:textId="67B06FE6" w:rsidR="001F0ECF" w:rsidRPr="001F0ECF" w:rsidRDefault="001F0ECF" w:rsidP="00183094">
      <w:pPr>
        <w:pStyle w:val="ListParagraph"/>
      </w:pPr>
      <w:r w:rsidRPr="001F0ECF">
        <w:t xml:space="preserve">What is </w:t>
      </w:r>
      <w:r>
        <w:t>this</w:t>
      </w:r>
      <w:r w:rsidRPr="001F0ECF">
        <w:t xml:space="preserve"> “careless” objection?</w:t>
      </w:r>
      <w:r>
        <w:t xml:space="preserve"> Why is it careless?</w:t>
      </w:r>
      <w:r w:rsidR="00005320">
        <w:t xml:space="preserve"> Why bring it up at all?</w:t>
      </w:r>
    </w:p>
    <w:p w14:paraId="5240EE5D" w14:textId="28F7415B" w:rsidR="0098254B" w:rsidRPr="00A32B2D" w:rsidRDefault="0098254B" w:rsidP="00183094">
      <w:pPr>
        <w:pStyle w:val="ListParagraph"/>
        <w:rPr>
          <w:b/>
          <w:bCs/>
        </w:rPr>
      </w:pPr>
      <w:r w:rsidRPr="00A32B2D">
        <w:rPr>
          <w:b/>
          <w:bCs/>
        </w:rPr>
        <w:t xml:space="preserve">What is </w:t>
      </w:r>
      <w:r w:rsidR="00EC3360">
        <w:rPr>
          <w:b/>
          <w:bCs/>
        </w:rPr>
        <w:t>the</w:t>
      </w:r>
      <w:r w:rsidRPr="00A32B2D">
        <w:rPr>
          <w:b/>
          <w:bCs/>
        </w:rPr>
        <w:t xml:space="preserve"> distinction that Dworkin thinks Scalia fails to appreciate?</w:t>
      </w:r>
      <w:r w:rsidR="00C218D5">
        <w:rPr>
          <w:b/>
          <w:bCs/>
        </w:rPr>
        <w:t xml:space="preserve"> Try to give your own example.</w:t>
      </w:r>
    </w:p>
    <w:p w14:paraId="20053895" w14:textId="24833734" w:rsidR="0098254B" w:rsidRDefault="0098254B" w:rsidP="0098254B"/>
    <w:p w14:paraId="4543F82F" w14:textId="77777777" w:rsidR="00C44446" w:rsidRDefault="00C44446" w:rsidP="0098254B"/>
    <w:p w14:paraId="14F1C6C1" w14:textId="77777777" w:rsidR="00C44446" w:rsidRDefault="00C44446" w:rsidP="0098254B"/>
    <w:p w14:paraId="58E9941D" w14:textId="13E40EA7" w:rsidR="0098254B" w:rsidRDefault="0098254B" w:rsidP="0098254B"/>
    <w:p w14:paraId="2F12E8A6" w14:textId="76C1A73D" w:rsidR="0098254B" w:rsidRDefault="0098254B" w:rsidP="0098254B"/>
    <w:p w14:paraId="7E39C372" w14:textId="77777777" w:rsidR="00005320" w:rsidRDefault="00005320" w:rsidP="0098254B"/>
    <w:p w14:paraId="03587AF5" w14:textId="0978B3E2" w:rsidR="0098254B" w:rsidRDefault="0098254B" w:rsidP="00183094">
      <w:pPr>
        <w:pStyle w:val="ListParagraph"/>
      </w:pPr>
      <w:r>
        <w:t xml:space="preserve">Why, according to Dworkin, must Scalia </w:t>
      </w:r>
      <w:r w:rsidR="00031968">
        <w:t>subscribe to semantic intention</w:t>
      </w:r>
      <w:r>
        <w:t>?</w:t>
      </w:r>
    </w:p>
    <w:p w14:paraId="4D30F2BC" w14:textId="477CBD83" w:rsidR="00C218D5" w:rsidRDefault="00C218D5" w:rsidP="00C218D5">
      <w:pPr>
        <w:pStyle w:val="ListParagraph"/>
      </w:pPr>
      <w:r>
        <w:t xml:space="preserve">How does Dworkin use </w:t>
      </w:r>
      <w:r>
        <w:rPr>
          <w:i/>
          <w:iCs/>
        </w:rPr>
        <w:t xml:space="preserve">Brown </w:t>
      </w:r>
      <w:r>
        <w:t>to illustrate the difference between expectation originalism and semantic originalism?</w:t>
      </w:r>
      <w:r w:rsidR="00031968">
        <w:t xml:space="preserve"> Which kind of originalist does Dworkin take Scalia to be?</w:t>
      </w:r>
    </w:p>
    <w:p w14:paraId="7471BFC6" w14:textId="7D07F750" w:rsidR="0098254B" w:rsidRPr="00A32B2D" w:rsidRDefault="0098254B" w:rsidP="00183094">
      <w:pPr>
        <w:pStyle w:val="ListParagraph"/>
        <w:rPr>
          <w:b/>
          <w:bCs/>
        </w:rPr>
      </w:pPr>
      <w:r w:rsidRPr="00A32B2D">
        <w:rPr>
          <w:b/>
          <w:bCs/>
        </w:rPr>
        <w:t xml:space="preserve">What are the two </w:t>
      </w:r>
      <w:r w:rsidR="00031968">
        <w:rPr>
          <w:b/>
          <w:bCs/>
        </w:rPr>
        <w:t>semantic originalist</w:t>
      </w:r>
      <w:r w:rsidRPr="00A32B2D">
        <w:rPr>
          <w:b/>
          <w:bCs/>
        </w:rPr>
        <w:t xml:space="preserve"> reading</w:t>
      </w:r>
      <w:r w:rsidR="00031968">
        <w:rPr>
          <w:b/>
          <w:bCs/>
        </w:rPr>
        <w:t>s of</w:t>
      </w:r>
      <w:r w:rsidRPr="00A32B2D">
        <w:rPr>
          <w:b/>
          <w:bCs/>
        </w:rPr>
        <w:t xml:space="preserve"> “cruel and unusual punishments</w:t>
      </w:r>
      <w:r w:rsidR="00031968" w:rsidRPr="00A32B2D">
        <w:rPr>
          <w:b/>
          <w:bCs/>
        </w:rPr>
        <w:t>”</w:t>
      </w:r>
      <w:r w:rsidRPr="00A32B2D">
        <w:rPr>
          <w:b/>
          <w:bCs/>
        </w:rPr>
        <w:t>?</w:t>
      </w:r>
    </w:p>
    <w:p w14:paraId="4AD706AA" w14:textId="0373E2D4" w:rsidR="0098254B" w:rsidRDefault="0098254B" w:rsidP="0098254B"/>
    <w:p w14:paraId="5500A772" w14:textId="77777777" w:rsidR="00C44446" w:rsidRDefault="00C44446" w:rsidP="0098254B"/>
    <w:p w14:paraId="0FD18D2D" w14:textId="7521A6A0" w:rsidR="0098254B" w:rsidRDefault="0098254B" w:rsidP="0098254B"/>
    <w:p w14:paraId="7C86BC63" w14:textId="77777777" w:rsidR="00C44446" w:rsidRDefault="00C44446" w:rsidP="0098254B"/>
    <w:p w14:paraId="27023991" w14:textId="3093000C" w:rsidR="0098254B" w:rsidRDefault="0098254B" w:rsidP="0098254B"/>
    <w:p w14:paraId="1275AAD9" w14:textId="77777777" w:rsidR="00005320" w:rsidRDefault="00005320" w:rsidP="0098254B"/>
    <w:p w14:paraId="36278BCA" w14:textId="55E2C79D" w:rsidR="0098254B" w:rsidRDefault="0098254B" w:rsidP="00183094">
      <w:pPr>
        <w:pStyle w:val="ListParagraph"/>
      </w:pPr>
      <w:r>
        <w:lastRenderedPageBreak/>
        <w:t xml:space="preserve">What </w:t>
      </w:r>
      <w:r w:rsidR="00031968">
        <w:t>is</w:t>
      </w:r>
      <w:r>
        <w:t xml:space="preserve"> the mink example </w:t>
      </w:r>
      <w:r w:rsidR="00031968">
        <w:t>supposed to illustrate</w:t>
      </w:r>
      <w:r>
        <w:t>?</w:t>
      </w:r>
    </w:p>
    <w:p w14:paraId="7810A700" w14:textId="489D8122" w:rsidR="00031968" w:rsidRDefault="00031968" w:rsidP="00183094">
      <w:pPr>
        <w:pStyle w:val="ListParagraph"/>
      </w:pPr>
      <w:r>
        <w:t>How does Dworkin turn this discussion into an argument that what Scalia says is not internally logically consistent?</w:t>
      </w:r>
    </w:p>
    <w:p w14:paraId="262A8AAB" w14:textId="2FF9F2AA" w:rsidR="0098254B" w:rsidRPr="00005320" w:rsidRDefault="00031968" w:rsidP="00183094">
      <w:pPr>
        <w:pStyle w:val="ListParagraph"/>
        <w:rPr>
          <w:b/>
          <w:bCs/>
        </w:rPr>
      </w:pPr>
      <w:r w:rsidRPr="00005320">
        <w:rPr>
          <w:b/>
          <w:bCs/>
        </w:rPr>
        <w:t>What is Dworkin’s understanding of The Living Constitution?</w:t>
      </w:r>
    </w:p>
    <w:p w14:paraId="64025723" w14:textId="297DF9F7" w:rsidR="00005320" w:rsidRDefault="00005320" w:rsidP="00005320"/>
    <w:p w14:paraId="60EB490D" w14:textId="3D5E6D23" w:rsidR="00005320" w:rsidRDefault="00005320" w:rsidP="00005320"/>
    <w:p w14:paraId="6A8DA364" w14:textId="56C21EB3" w:rsidR="00005320" w:rsidRDefault="00005320" w:rsidP="00005320"/>
    <w:p w14:paraId="70209E07" w14:textId="77777777" w:rsidR="00005320" w:rsidRDefault="00005320" w:rsidP="00005320"/>
    <w:p w14:paraId="3858601F" w14:textId="77777777" w:rsidR="00C44446" w:rsidRDefault="00C44446" w:rsidP="00005320"/>
    <w:p w14:paraId="6692DD78" w14:textId="77777777" w:rsidR="00C44446" w:rsidRDefault="00C44446" w:rsidP="00005320"/>
    <w:p w14:paraId="25A8D8B2" w14:textId="77777777" w:rsidR="00C44446" w:rsidRDefault="00C44446" w:rsidP="00005320"/>
    <w:p w14:paraId="22DF3A9A" w14:textId="4727FC2E" w:rsidR="00031968" w:rsidRDefault="00031968" w:rsidP="00183094">
      <w:pPr>
        <w:pStyle w:val="ListParagraph"/>
      </w:pPr>
      <w:r>
        <w:t>Skip Dworkin’s discussion of the 1st Amendment.</w:t>
      </w:r>
    </w:p>
    <w:p w14:paraId="31910254" w14:textId="44030394" w:rsidR="00031968" w:rsidRDefault="00895E65" w:rsidP="00183094">
      <w:pPr>
        <w:pStyle w:val="ListParagraph"/>
      </w:pPr>
      <w:r>
        <w:t>What is Dworkin’s objection to Scalia’s reading of the Equal Protection Clause?</w:t>
      </w:r>
    </w:p>
    <w:p w14:paraId="332E0BF2" w14:textId="52EDE2BB" w:rsidR="0098254B" w:rsidRPr="0098254B" w:rsidRDefault="0098254B" w:rsidP="0098254B">
      <w:pPr>
        <w:pStyle w:val="ListParagraph"/>
      </w:pPr>
      <w:r>
        <w:t xml:space="preserve">How does Dworkin respond to Scalia’s worry </w:t>
      </w:r>
      <w:r w:rsidR="00895E65">
        <w:t>about the politicization of the courts and the suffering of individual rights?</w:t>
      </w:r>
    </w:p>
    <w:p w14:paraId="49710BB2" w14:textId="1E732D7F" w:rsidR="00A95ED1" w:rsidRDefault="00F22A5E" w:rsidP="00F22A5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F22A5E">
        <w:rPr>
          <w:rFonts w:eastAsia="Times New Roman" w:cs="Times New Roman"/>
          <w:b/>
          <w:bCs/>
          <w:i w:val="0"/>
          <w:iCs w:val="0"/>
          <w:szCs w:val="21"/>
        </w:rPr>
        <w:t>Antonin Scalia, “Response”</w:t>
      </w:r>
    </w:p>
    <w:p w14:paraId="0A221CB3" w14:textId="77777777" w:rsidR="00895E65" w:rsidRDefault="00895E65" w:rsidP="00183094">
      <w:pPr>
        <w:pStyle w:val="ListParagraph"/>
      </w:pPr>
      <w:r>
        <w:t>Scalia’s response to Dworkin starts on p. 144.</w:t>
      </w:r>
    </w:p>
    <w:p w14:paraId="306D8D30" w14:textId="1ECA55D7" w:rsidR="0098254B" w:rsidRDefault="00895E65" w:rsidP="00183094">
      <w:pPr>
        <w:pStyle w:val="ListParagraph"/>
      </w:pPr>
      <w:r>
        <w:t>How does Scalia respond</w:t>
      </w:r>
      <w:r w:rsidR="0098254B">
        <w:t xml:space="preserve"> to Dworkin’s distinction between semantic originalism and expectation originalism?</w:t>
      </w:r>
    </w:p>
    <w:p w14:paraId="75CE4805" w14:textId="77B7F7AE" w:rsidR="0098254B" w:rsidRPr="00D47BD5" w:rsidRDefault="0098254B" w:rsidP="00183094">
      <w:pPr>
        <w:pStyle w:val="ListParagraph"/>
        <w:rPr>
          <w:b/>
          <w:bCs/>
        </w:rPr>
      </w:pPr>
      <w:r w:rsidRPr="00D47BD5">
        <w:rPr>
          <w:b/>
          <w:bCs/>
        </w:rPr>
        <w:t>What is Scalia’s reading of “cruel and unusual punishments</w:t>
      </w:r>
      <w:r w:rsidR="00895E65" w:rsidRPr="00D47BD5">
        <w:rPr>
          <w:b/>
          <w:bCs/>
        </w:rPr>
        <w:t>”</w:t>
      </w:r>
      <w:r w:rsidRPr="00D47BD5">
        <w:rPr>
          <w:b/>
          <w:bCs/>
        </w:rPr>
        <w:t>?</w:t>
      </w:r>
      <w:r w:rsidR="00726BFF">
        <w:rPr>
          <w:b/>
          <w:bCs/>
        </w:rPr>
        <w:t xml:space="preserve"> How is it different from Dworkin’s reading?</w:t>
      </w:r>
    </w:p>
    <w:p w14:paraId="05ADE301" w14:textId="72F39283" w:rsidR="0098254B" w:rsidRDefault="0098254B" w:rsidP="0098254B"/>
    <w:p w14:paraId="05489F82" w14:textId="4E1BF1B4" w:rsidR="0098254B" w:rsidRDefault="0098254B" w:rsidP="0098254B"/>
    <w:p w14:paraId="21145811" w14:textId="2E5B6D0D" w:rsidR="0098254B" w:rsidRDefault="0098254B" w:rsidP="0098254B"/>
    <w:p w14:paraId="047364F7" w14:textId="77777777" w:rsidR="00005320" w:rsidRDefault="00005320" w:rsidP="0098254B"/>
    <w:p w14:paraId="364CD957" w14:textId="77777777" w:rsidR="00C44446" w:rsidRDefault="00C44446" w:rsidP="0098254B"/>
    <w:p w14:paraId="0E97F80D" w14:textId="77777777" w:rsidR="00C44446" w:rsidRDefault="00C44446" w:rsidP="0098254B"/>
    <w:p w14:paraId="49D96EB1" w14:textId="77777777" w:rsidR="00C44446" w:rsidRDefault="00C44446" w:rsidP="0098254B"/>
    <w:p w14:paraId="7AEA4226" w14:textId="01A517DA" w:rsidR="0098254B" w:rsidRDefault="0098254B" w:rsidP="00183094">
      <w:pPr>
        <w:pStyle w:val="ListParagraph"/>
      </w:pPr>
      <w:r>
        <w:t>How does Scalia respond to Dworkin’s mink example?</w:t>
      </w:r>
      <w:r w:rsidR="00DC607E">
        <w:t xml:space="preserve"> (</w:t>
      </w:r>
      <w:r w:rsidR="00005320">
        <w:t>Does he just</w:t>
      </w:r>
      <w:r w:rsidR="00DC607E">
        <w:t xml:space="preserve"> seem to miss the point</w:t>
      </w:r>
      <w:r w:rsidR="00374814">
        <w:t xml:space="preserve"> of the example</w:t>
      </w:r>
      <w:r w:rsidR="00005320">
        <w:t xml:space="preserve"> entirely</w:t>
      </w:r>
      <w:r w:rsidR="00996B74">
        <w:t>?</w:t>
      </w:r>
      <w:r w:rsidR="00DC607E">
        <w:t>)</w:t>
      </w:r>
    </w:p>
    <w:p w14:paraId="43A51D9B" w14:textId="4647C982" w:rsidR="0098254B" w:rsidRDefault="0098254B" w:rsidP="00EA7853">
      <w:pPr>
        <w:pStyle w:val="ListParagraph"/>
      </w:pPr>
      <w:r>
        <w:t>Skip</w:t>
      </w:r>
      <w:r w:rsidR="00726BFF">
        <w:t xml:space="preserve"> the discussion of the “evolutionary meaning of the Bill of Rights.”</w:t>
      </w:r>
    </w:p>
    <w:p w14:paraId="4B0A489B" w14:textId="3196C9D1" w:rsidR="00726BFF" w:rsidRDefault="006E3A67" w:rsidP="00EA7853">
      <w:pPr>
        <w:pStyle w:val="ListParagraph"/>
      </w:pPr>
      <w:r>
        <w:t>Skim</w:t>
      </w:r>
      <w:r w:rsidR="00726BFF">
        <w:t xml:space="preserve"> Scalia’s response to Dworkin’s criticism of his reading of the 1st </w:t>
      </w:r>
      <w:r w:rsidR="004A143B">
        <w:t>A</w:t>
      </w:r>
      <w:r w:rsidR="00726BFF">
        <w:t>mendment</w:t>
      </w:r>
      <w:r>
        <w:t>.</w:t>
      </w:r>
    </w:p>
    <w:p w14:paraId="67AB5979" w14:textId="60232655" w:rsidR="00726BFF" w:rsidRDefault="006E3A67" w:rsidP="00EA7853">
      <w:pPr>
        <w:pStyle w:val="ListParagraph"/>
      </w:pPr>
      <w:r>
        <w:t>What is Scalia’s</w:t>
      </w:r>
      <w:r w:rsidR="00726BFF">
        <w:t xml:space="preserve"> response to Dworkin’s criticism of </w:t>
      </w:r>
      <w:r w:rsidR="00AD63B1">
        <w:t>his reading of the Equal Protection Clause?</w:t>
      </w:r>
    </w:p>
    <w:p w14:paraId="67F1AB8D" w14:textId="5C255440" w:rsidR="00AD63B1" w:rsidRPr="0098254B" w:rsidRDefault="00AD63B1" w:rsidP="00EA7853">
      <w:pPr>
        <w:pStyle w:val="ListParagraph"/>
      </w:pPr>
      <w:r>
        <w:lastRenderedPageBreak/>
        <w:t>What is going on in the last paragraph?</w:t>
      </w:r>
      <w:r w:rsidR="00642048">
        <w:t xml:space="preserve"> (</w:t>
      </w:r>
      <w:r w:rsidR="00357CE2">
        <w:t xml:space="preserve">The book </w:t>
      </w:r>
      <w:r w:rsidR="006E3A67">
        <w:t>was</w:t>
      </w:r>
      <w:r w:rsidR="00357CE2">
        <w:t xml:space="preserve"> the published version of </w:t>
      </w:r>
      <w:r w:rsidR="00C44446">
        <w:t xml:space="preserve">the </w:t>
      </w:r>
      <w:r w:rsidR="00357CE2">
        <w:t>Tanner Lecture</w:t>
      </w:r>
      <w:r w:rsidR="00C44446">
        <w:t xml:space="preserve"> that Scalia gave in 1995</w:t>
      </w:r>
      <w:r w:rsidR="00642048">
        <w:t xml:space="preserve">. Did he really think women, racial </w:t>
      </w:r>
      <w:r w:rsidR="00357CE2">
        <w:t>minorities</w:t>
      </w:r>
      <w:r w:rsidR="00C44446">
        <w:t>,</w:t>
      </w:r>
      <w:r w:rsidR="001327E9">
        <w:t xml:space="preserve"> or</w:t>
      </w:r>
      <w:r w:rsidR="006A31A3">
        <w:t xml:space="preserve"> </w:t>
      </w:r>
      <w:r w:rsidR="009764D9">
        <w:t xml:space="preserve">for that matter </w:t>
      </w:r>
      <w:r w:rsidR="00642048">
        <w:t>“homosexual[s]”</w:t>
      </w:r>
      <w:r w:rsidR="004A143B">
        <w:t xml:space="preserve"> </w:t>
      </w:r>
      <w:r w:rsidR="00642048">
        <w:t>were not disfavored by the majority?)</w:t>
      </w:r>
    </w:p>
    <w:sectPr w:rsidR="00AD63B1" w:rsidRPr="0098254B" w:rsidSect="001601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0E16" w14:textId="77777777" w:rsidR="0077622D" w:rsidRDefault="0077622D" w:rsidP="005370D4">
      <w:r>
        <w:separator/>
      </w:r>
    </w:p>
  </w:endnote>
  <w:endnote w:type="continuationSeparator" w:id="0">
    <w:p w14:paraId="12083455" w14:textId="77777777" w:rsidR="0077622D" w:rsidRDefault="0077622D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BBFB" w14:textId="77777777" w:rsidR="0077622D" w:rsidRDefault="0077622D" w:rsidP="005370D4">
      <w:r>
        <w:separator/>
      </w:r>
    </w:p>
  </w:footnote>
  <w:footnote w:type="continuationSeparator" w:id="0">
    <w:p w14:paraId="26509618" w14:textId="77777777" w:rsidR="0077622D" w:rsidRDefault="0077622D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7C4"/>
    <w:multiLevelType w:val="hybridMultilevel"/>
    <w:tmpl w:val="12C4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F6A7D"/>
    <w:multiLevelType w:val="hybridMultilevel"/>
    <w:tmpl w:val="45F88A3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6452">
    <w:abstractNumId w:val="1"/>
  </w:num>
  <w:num w:numId="2" w16cid:durableId="1167552016">
    <w:abstractNumId w:val="1"/>
  </w:num>
  <w:num w:numId="3" w16cid:durableId="1539198041">
    <w:abstractNumId w:val="0"/>
  </w:num>
  <w:num w:numId="4" w16cid:durableId="148042003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028C1"/>
    <w:rsid w:val="00005320"/>
    <w:rsid w:val="00020A88"/>
    <w:rsid w:val="00026C87"/>
    <w:rsid w:val="00030BF7"/>
    <w:rsid w:val="0003134D"/>
    <w:rsid w:val="000318EC"/>
    <w:rsid w:val="00031968"/>
    <w:rsid w:val="00042E51"/>
    <w:rsid w:val="00044043"/>
    <w:rsid w:val="0005415D"/>
    <w:rsid w:val="00057982"/>
    <w:rsid w:val="000666CB"/>
    <w:rsid w:val="000766F3"/>
    <w:rsid w:val="000803E3"/>
    <w:rsid w:val="000900F3"/>
    <w:rsid w:val="00097A50"/>
    <w:rsid w:val="000A6C69"/>
    <w:rsid w:val="000B6396"/>
    <w:rsid w:val="000B7D91"/>
    <w:rsid w:val="000D3F4F"/>
    <w:rsid w:val="000D5057"/>
    <w:rsid w:val="000D6374"/>
    <w:rsid w:val="000E17E1"/>
    <w:rsid w:val="000E2CF4"/>
    <w:rsid w:val="000E43F9"/>
    <w:rsid w:val="000E5C95"/>
    <w:rsid w:val="00104388"/>
    <w:rsid w:val="0010732D"/>
    <w:rsid w:val="00112522"/>
    <w:rsid w:val="001168D2"/>
    <w:rsid w:val="001227CD"/>
    <w:rsid w:val="00123502"/>
    <w:rsid w:val="00124DFE"/>
    <w:rsid w:val="00125401"/>
    <w:rsid w:val="00126503"/>
    <w:rsid w:val="001272AF"/>
    <w:rsid w:val="00127344"/>
    <w:rsid w:val="001327E9"/>
    <w:rsid w:val="001406FE"/>
    <w:rsid w:val="0014618E"/>
    <w:rsid w:val="0014783A"/>
    <w:rsid w:val="00153C16"/>
    <w:rsid w:val="00153FEF"/>
    <w:rsid w:val="00156699"/>
    <w:rsid w:val="001601BA"/>
    <w:rsid w:val="00161452"/>
    <w:rsid w:val="00177BA8"/>
    <w:rsid w:val="00181D9A"/>
    <w:rsid w:val="00183094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F0ECF"/>
    <w:rsid w:val="001F1275"/>
    <w:rsid w:val="001F1E2F"/>
    <w:rsid w:val="00202E3A"/>
    <w:rsid w:val="00203BC2"/>
    <w:rsid w:val="00204681"/>
    <w:rsid w:val="00212A5D"/>
    <w:rsid w:val="00217A1B"/>
    <w:rsid w:val="00220519"/>
    <w:rsid w:val="00220C70"/>
    <w:rsid w:val="00230CC5"/>
    <w:rsid w:val="00233AB8"/>
    <w:rsid w:val="00236D8A"/>
    <w:rsid w:val="0024240E"/>
    <w:rsid w:val="002435DE"/>
    <w:rsid w:val="00246F3C"/>
    <w:rsid w:val="00257302"/>
    <w:rsid w:val="0026039A"/>
    <w:rsid w:val="00260E16"/>
    <w:rsid w:val="002709A8"/>
    <w:rsid w:val="00274269"/>
    <w:rsid w:val="00276C85"/>
    <w:rsid w:val="00284EA0"/>
    <w:rsid w:val="00290FA8"/>
    <w:rsid w:val="00292F45"/>
    <w:rsid w:val="00294692"/>
    <w:rsid w:val="002A22FD"/>
    <w:rsid w:val="002A38FD"/>
    <w:rsid w:val="002A7AD6"/>
    <w:rsid w:val="002C194E"/>
    <w:rsid w:val="002C2068"/>
    <w:rsid w:val="002C5B2E"/>
    <w:rsid w:val="002C5D8B"/>
    <w:rsid w:val="002F1545"/>
    <w:rsid w:val="002F7F3A"/>
    <w:rsid w:val="003015FB"/>
    <w:rsid w:val="00303689"/>
    <w:rsid w:val="0030380C"/>
    <w:rsid w:val="00305AE0"/>
    <w:rsid w:val="00306C84"/>
    <w:rsid w:val="003127BE"/>
    <w:rsid w:val="003136CF"/>
    <w:rsid w:val="00316E78"/>
    <w:rsid w:val="003218E7"/>
    <w:rsid w:val="00322D3E"/>
    <w:rsid w:val="003239B0"/>
    <w:rsid w:val="00341467"/>
    <w:rsid w:val="0034399C"/>
    <w:rsid w:val="00345528"/>
    <w:rsid w:val="003474D8"/>
    <w:rsid w:val="00353EE2"/>
    <w:rsid w:val="00357CE2"/>
    <w:rsid w:val="00372958"/>
    <w:rsid w:val="00374814"/>
    <w:rsid w:val="00380EAE"/>
    <w:rsid w:val="003813BA"/>
    <w:rsid w:val="00383B56"/>
    <w:rsid w:val="00387B93"/>
    <w:rsid w:val="003944BD"/>
    <w:rsid w:val="003960B2"/>
    <w:rsid w:val="0039754B"/>
    <w:rsid w:val="003A10B1"/>
    <w:rsid w:val="003A17B9"/>
    <w:rsid w:val="003C3017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514"/>
    <w:rsid w:val="004016A6"/>
    <w:rsid w:val="00411389"/>
    <w:rsid w:val="004144BC"/>
    <w:rsid w:val="004168E5"/>
    <w:rsid w:val="00435747"/>
    <w:rsid w:val="00435D6B"/>
    <w:rsid w:val="004511E5"/>
    <w:rsid w:val="0045248D"/>
    <w:rsid w:val="00467B7F"/>
    <w:rsid w:val="00473BB0"/>
    <w:rsid w:val="00476E84"/>
    <w:rsid w:val="00477FBC"/>
    <w:rsid w:val="0048299C"/>
    <w:rsid w:val="00492D04"/>
    <w:rsid w:val="00492D39"/>
    <w:rsid w:val="0049530F"/>
    <w:rsid w:val="004A0789"/>
    <w:rsid w:val="004A143B"/>
    <w:rsid w:val="004A6A2B"/>
    <w:rsid w:val="004B0520"/>
    <w:rsid w:val="004C09C1"/>
    <w:rsid w:val="004C1349"/>
    <w:rsid w:val="004C4DDA"/>
    <w:rsid w:val="004D135F"/>
    <w:rsid w:val="004E49A8"/>
    <w:rsid w:val="004E614C"/>
    <w:rsid w:val="00501C0E"/>
    <w:rsid w:val="00510551"/>
    <w:rsid w:val="00521905"/>
    <w:rsid w:val="00525B8D"/>
    <w:rsid w:val="00527ED7"/>
    <w:rsid w:val="00530338"/>
    <w:rsid w:val="005367FC"/>
    <w:rsid w:val="005370D4"/>
    <w:rsid w:val="00543DE3"/>
    <w:rsid w:val="005473F3"/>
    <w:rsid w:val="005501EF"/>
    <w:rsid w:val="00552FA1"/>
    <w:rsid w:val="00555C84"/>
    <w:rsid w:val="005577D9"/>
    <w:rsid w:val="0056423A"/>
    <w:rsid w:val="0056591A"/>
    <w:rsid w:val="00581373"/>
    <w:rsid w:val="00582FE2"/>
    <w:rsid w:val="00583343"/>
    <w:rsid w:val="0058369B"/>
    <w:rsid w:val="0059671D"/>
    <w:rsid w:val="005A085E"/>
    <w:rsid w:val="005A69A6"/>
    <w:rsid w:val="005B2473"/>
    <w:rsid w:val="005C2C49"/>
    <w:rsid w:val="005C72ED"/>
    <w:rsid w:val="005C794E"/>
    <w:rsid w:val="005E477E"/>
    <w:rsid w:val="005E5CD8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339AE"/>
    <w:rsid w:val="00640375"/>
    <w:rsid w:val="00642048"/>
    <w:rsid w:val="0064518C"/>
    <w:rsid w:val="00645323"/>
    <w:rsid w:val="00646B6D"/>
    <w:rsid w:val="0065486C"/>
    <w:rsid w:val="006561B9"/>
    <w:rsid w:val="00672A96"/>
    <w:rsid w:val="00692070"/>
    <w:rsid w:val="006A0C77"/>
    <w:rsid w:val="006A31A3"/>
    <w:rsid w:val="006A66F7"/>
    <w:rsid w:val="006A6A1D"/>
    <w:rsid w:val="006B2480"/>
    <w:rsid w:val="006B48FD"/>
    <w:rsid w:val="006B6D51"/>
    <w:rsid w:val="006C1947"/>
    <w:rsid w:val="006C401E"/>
    <w:rsid w:val="006C5EC3"/>
    <w:rsid w:val="006D0934"/>
    <w:rsid w:val="006D0B3E"/>
    <w:rsid w:val="006D502F"/>
    <w:rsid w:val="006E00C9"/>
    <w:rsid w:val="006E3A67"/>
    <w:rsid w:val="006F1F43"/>
    <w:rsid w:val="006F3468"/>
    <w:rsid w:val="006F3E8C"/>
    <w:rsid w:val="006F5AAA"/>
    <w:rsid w:val="00702C7F"/>
    <w:rsid w:val="007041C5"/>
    <w:rsid w:val="00705169"/>
    <w:rsid w:val="0070655C"/>
    <w:rsid w:val="00707305"/>
    <w:rsid w:val="00710F3C"/>
    <w:rsid w:val="0071744E"/>
    <w:rsid w:val="00726854"/>
    <w:rsid w:val="00726BFF"/>
    <w:rsid w:val="0072774E"/>
    <w:rsid w:val="0073189C"/>
    <w:rsid w:val="00740FD7"/>
    <w:rsid w:val="00745F9C"/>
    <w:rsid w:val="00762F74"/>
    <w:rsid w:val="0076434D"/>
    <w:rsid w:val="007646AC"/>
    <w:rsid w:val="00772697"/>
    <w:rsid w:val="0077622D"/>
    <w:rsid w:val="00784268"/>
    <w:rsid w:val="007852CA"/>
    <w:rsid w:val="00791062"/>
    <w:rsid w:val="00795415"/>
    <w:rsid w:val="00795EB7"/>
    <w:rsid w:val="007A6E33"/>
    <w:rsid w:val="007C1E58"/>
    <w:rsid w:val="007C7D8C"/>
    <w:rsid w:val="007D0C1D"/>
    <w:rsid w:val="007D410E"/>
    <w:rsid w:val="007D5438"/>
    <w:rsid w:val="007D61D8"/>
    <w:rsid w:val="007E43E9"/>
    <w:rsid w:val="007F0DC7"/>
    <w:rsid w:val="007F15F6"/>
    <w:rsid w:val="007F288A"/>
    <w:rsid w:val="00803503"/>
    <w:rsid w:val="00824768"/>
    <w:rsid w:val="00824961"/>
    <w:rsid w:val="00825B53"/>
    <w:rsid w:val="00833686"/>
    <w:rsid w:val="008353DD"/>
    <w:rsid w:val="00840EDC"/>
    <w:rsid w:val="00850D86"/>
    <w:rsid w:val="0085105C"/>
    <w:rsid w:val="00851C1A"/>
    <w:rsid w:val="00854988"/>
    <w:rsid w:val="00855B94"/>
    <w:rsid w:val="0088007A"/>
    <w:rsid w:val="008913DA"/>
    <w:rsid w:val="00891892"/>
    <w:rsid w:val="00895E65"/>
    <w:rsid w:val="00897051"/>
    <w:rsid w:val="008A221E"/>
    <w:rsid w:val="008A704F"/>
    <w:rsid w:val="008B173F"/>
    <w:rsid w:val="008B1BD8"/>
    <w:rsid w:val="008B4E91"/>
    <w:rsid w:val="008B6876"/>
    <w:rsid w:val="008B6A5F"/>
    <w:rsid w:val="008C1427"/>
    <w:rsid w:val="008C1F38"/>
    <w:rsid w:val="008C2232"/>
    <w:rsid w:val="008C39B3"/>
    <w:rsid w:val="008D1472"/>
    <w:rsid w:val="008E58C6"/>
    <w:rsid w:val="008F35B8"/>
    <w:rsid w:val="00906CBD"/>
    <w:rsid w:val="00915A1D"/>
    <w:rsid w:val="00926029"/>
    <w:rsid w:val="00931290"/>
    <w:rsid w:val="00940CD0"/>
    <w:rsid w:val="009436A0"/>
    <w:rsid w:val="00943966"/>
    <w:rsid w:val="00955E79"/>
    <w:rsid w:val="0095665B"/>
    <w:rsid w:val="00956BF5"/>
    <w:rsid w:val="009700EF"/>
    <w:rsid w:val="009739EA"/>
    <w:rsid w:val="009764D9"/>
    <w:rsid w:val="0098254B"/>
    <w:rsid w:val="00994523"/>
    <w:rsid w:val="00996775"/>
    <w:rsid w:val="009968BA"/>
    <w:rsid w:val="00996B74"/>
    <w:rsid w:val="009B23DE"/>
    <w:rsid w:val="009B7F99"/>
    <w:rsid w:val="009C19CF"/>
    <w:rsid w:val="009C6719"/>
    <w:rsid w:val="009C6BA8"/>
    <w:rsid w:val="009D0D26"/>
    <w:rsid w:val="009D2E0D"/>
    <w:rsid w:val="009E1DC4"/>
    <w:rsid w:val="009F1828"/>
    <w:rsid w:val="00A07F73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6E42"/>
    <w:rsid w:val="00A47ADB"/>
    <w:rsid w:val="00A5410F"/>
    <w:rsid w:val="00A57078"/>
    <w:rsid w:val="00A679F7"/>
    <w:rsid w:val="00A67E7D"/>
    <w:rsid w:val="00A80C88"/>
    <w:rsid w:val="00A863C9"/>
    <w:rsid w:val="00A8690C"/>
    <w:rsid w:val="00A93829"/>
    <w:rsid w:val="00A95ED1"/>
    <w:rsid w:val="00AA0B36"/>
    <w:rsid w:val="00AA5B20"/>
    <w:rsid w:val="00AB49BF"/>
    <w:rsid w:val="00AC35F2"/>
    <w:rsid w:val="00AC485D"/>
    <w:rsid w:val="00AD206F"/>
    <w:rsid w:val="00AD63B1"/>
    <w:rsid w:val="00AE1501"/>
    <w:rsid w:val="00AF205E"/>
    <w:rsid w:val="00AF3FA3"/>
    <w:rsid w:val="00AF54AD"/>
    <w:rsid w:val="00B10FEC"/>
    <w:rsid w:val="00B12D5F"/>
    <w:rsid w:val="00B224C9"/>
    <w:rsid w:val="00B25C65"/>
    <w:rsid w:val="00B2600F"/>
    <w:rsid w:val="00B30C41"/>
    <w:rsid w:val="00B338AB"/>
    <w:rsid w:val="00B37B23"/>
    <w:rsid w:val="00B37CA1"/>
    <w:rsid w:val="00B50FB5"/>
    <w:rsid w:val="00B51D45"/>
    <w:rsid w:val="00B67C93"/>
    <w:rsid w:val="00B708AE"/>
    <w:rsid w:val="00B76B15"/>
    <w:rsid w:val="00B86B5A"/>
    <w:rsid w:val="00B90045"/>
    <w:rsid w:val="00B91B2B"/>
    <w:rsid w:val="00B937C9"/>
    <w:rsid w:val="00B94E98"/>
    <w:rsid w:val="00BA4C66"/>
    <w:rsid w:val="00BB0A87"/>
    <w:rsid w:val="00BB1658"/>
    <w:rsid w:val="00BB5B89"/>
    <w:rsid w:val="00BC2FEB"/>
    <w:rsid w:val="00BC3C1E"/>
    <w:rsid w:val="00BE2BA8"/>
    <w:rsid w:val="00BE506A"/>
    <w:rsid w:val="00BE6402"/>
    <w:rsid w:val="00BE7378"/>
    <w:rsid w:val="00BF10BE"/>
    <w:rsid w:val="00BF121A"/>
    <w:rsid w:val="00BF28AE"/>
    <w:rsid w:val="00C13DAE"/>
    <w:rsid w:val="00C144FF"/>
    <w:rsid w:val="00C14CFD"/>
    <w:rsid w:val="00C218D5"/>
    <w:rsid w:val="00C272E4"/>
    <w:rsid w:val="00C31B30"/>
    <w:rsid w:val="00C32730"/>
    <w:rsid w:val="00C345C7"/>
    <w:rsid w:val="00C35F02"/>
    <w:rsid w:val="00C44446"/>
    <w:rsid w:val="00C727DA"/>
    <w:rsid w:val="00C7324D"/>
    <w:rsid w:val="00C73E5D"/>
    <w:rsid w:val="00C83D0A"/>
    <w:rsid w:val="00C849B6"/>
    <w:rsid w:val="00C858D5"/>
    <w:rsid w:val="00C93DB2"/>
    <w:rsid w:val="00CA0675"/>
    <w:rsid w:val="00CB27B2"/>
    <w:rsid w:val="00CB67FC"/>
    <w:rsid w:val="00CC0043"/>
    <w:rsid w:val="00CC25AD"/>
    <w:rsid w:val="00CC38E2"/>
    <w:rsid w:val="00CC7743"/>
    <w:rsid w:val="00CD10A6"/>
    <w:rsid w:val="00CE590B"/>
    <w:rsid w:val="00D03DA8"/>
    <w:rsid w:val="00D0554E"/>
    <w:rsid w:val="00D10703"/>
    <w:rsid w:val="00D1340F"/>
    <w:rsid w:val="00D1345F"/>
    <w:rsid w:val="00D14903"/>
    <w:rsid w:val="00D1563C"/>
    <w:rsid w:val="00D33294"/>
    <w:rsid w:val="00D332B8"/>
    <w:rsid w:val="00D34F85"/>
    <w:rsid w:val="00D3532B"/>
    <w:rsid w:val="00D3694A"/>
    <w:rsid w:val="00D37C96"/>
    <w:rsid w:val="00D45BF2"/>
    <w:rsid w:val="00D45C1F"/>
    <w:rsid w:val="00D6301D"/>
    <w:rsid w:val="00D649A8"/>
    <w:rsid w:val="00D70A12"/>
    <w:rsid w:val="00D814DE"/>
    <w:rsid w:val="00D91448"/>
    <w:rsid w:val="00D943E4"/>
    <w:rsid w:val="00D966C5"/>
    <w:rsid w:val="00DA011F"/>
    <w:rsid w:val="00DA76A6"/>
    <w:rsid w:val="00DB6FF0"/>
    <w:rsid w:val="00DC37F4"/>
    <w:rsid w:val="00DC5180"/>
    <w:rsid w:val="00DC607E"/>
    <w:rsid w:val="00DC7B44"/>
    <w:rsid w:val="00DD1CAE"/>
    <w:rsid w:val="00DD2087"/>
    <w:rsid w:val="00DD3FD2"/>
    <w:rsid w:val="00DE367F"/>
    <w:rsid w:val="00DE54D2"/>
    <w:rsid w:val="00DE7C35"/>
    <w:rsid w:val="00DF31CE"/>
    <w:rsid w:val="00DF3865"/>
    <w:rsid w:val="00DF4948"/>
    <w:rsid w:val="00DF67B8"/>
    <w:rsid w:val="00E104C2"/>
    <w:rsid w:val="00E115C5"/>
    <w:rsid w:val="00E1322D"/>
    <w:rsid w:val="00E1749F"/>
    <w:rsid w:val="00E23D25"/>
    <w:rsid w:val="00E26AFA"/>
    <w:rsid w:val="00E30040"/>
    <w:rsid w:val="00E34677"/>
    <w:rsid w:val="00E36A44"/>
    <w:rsid w:val="00E36C0D"/>
    <w:rsid w:val="00E412FC"/>
    <w:rsid w:val="00E50490"/>
    <w:rsid w:val="00E52A63"/>
    <w:rsid w:val="00E55D7A"/>
    <w:rsid w:val="00E6060D"/>
    <w:rsid w:val="00E67DA3"/>
    <w:rsid w:val="00E71922"/>
    <w:rsid w:val="00E74274"/>
    <w:rsid w:val="00E754C0"/>
    <w:rsid w:val="00E8581D"/>
    <w:rsid w:val="00E94833"/>
    <w:rsid w:val="00E95F8B"/>
    <w:rsid w:val="00EA1742"/>
    <w:rsid w:val="00EA4516"/>
    <w:rsid w:val="00EA4992"/>
    <w:rsid w:val="00EB3801"/>
    <w:rsid w:val="00EB5486"/>
    <w:rsid w:val="00EC1BE2"/>
    <w:rsid w:val="00EC3360"/>
    <w:rsid w:val="00EE038F"/>
    <w:rsid w:val="00EF39B1"/>
    <w:rsid w:val="00F018B8"/>
    <w:rsid w:val="00F01CE0"/>
    <w:rsid w:val="00F11A82"/>
    <w:rsid w:val="00F1688A"/>
    <w:rsid w:val="00F17B19"/>
    <w:rsid w:val="00F22A5E"/>
    <w:rsid w:val="00F2686B"/>
    <w:rsid w:val="00F34A11"/>
    <w:rsid w:val="00F3698F"/>
    <w:rsid w:val="00F42C99"/>
    <w:rsid w:val="00F50ABE"/>
    <w:rsid w:val="00F521E0"/>
    <w:rsid w:val="00F624A2"/>
    <w:rsid w:val="00F62643"/>
    <w:rsid w:val="00F771D1"/>
    <w:rsid w:val="00F7743A"/>
    <w:rsid w:val="00F77E29"/>
    <w:rsid w:val="00F80AE6"/>
    <w:rsid w:val="00F8690C"/>
    <w:rsid w:val="00F9509B"/>
    <w:rsid w:val="00F950BD"/>
    <w:rsid w:val="00FA2626"/>
    <w:rsid w:val="00FA3EE7"/>
    <w:rsid w:val="00FA5476"/>
    <w:rsid w:val="00FA5492"/>
    <w:rsid w:val="00FA76BB"/>
    <w:rsid w:val="00FB2247"/>
    <w:rsid w:val="00FC1CAE"/>
    <w:rsid w:val="00FD2FAA"/>
    <w:rsid w:val="00FD3DB3"/>
    <w:rsid w:val="00FD6450"/>
    <w:rsid w:val="00FE44F7"/>
    <w:rsid w:val="00FE5D4B"/>
    <w:rsid w:val="00FF11BB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CB67FC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CB67FC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7sX1cn5aO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98</cp:revision>
  <cp:lastPrinted>2021-04-09T00:58:00Z</cp:lastPrinted>
  <dcterms:created xsi:type="dcterms:W3CDTF">2021-06-09T06:43:00Z</dcterms:created>
  <dcterms:modified xsi:type="dcterms:W3CDTF">2023-07-16T07:41:00Z</dcterms:modified>
</cp:coreProperties>
</file>