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546A3CCD" w:rsidR="001A5008" w:rsidRPr="001A5008" w:rsidRDefault="00B67C93" w:rsidP="00D76004">
      <w:pPr>
        <w:pStyle w:val="Title"/>
      </w:pPr>
      <w:r w:rsidRPr="006D0B3E">
        <w:t xml:space="preserve">Module </w:t>
      </w:r>
      <w:r w:rsidR="00E74637">
        <w:t>7</w:t>
      </w:r>
      <w:r w:rsidRPr="006D0B3E">
        <w:t xml:space="preserve"> </w:t>
      </w:r>
      <w:r w:rsidRPr="00D76004">
        <w:t>Reading</w:t>
      </w:r>
      <w:r w:rsidRPr="006D0B3E">
        <w:t xml:space="preserve"> </w:t>
      </w:r>
      <w:r w:rsidRPr="009F1828">
        <w:t>Guide</w:t>
      </w:r>
    </w:p>
    <w:p w14:paraId="49DAC223" w14:textId="77777777" w:rsidR="004715D7" w:rsidRPr="004715D7" w:rsidRDefault="004715D7" w:rsidP="004715D7">
      <w:pPr>
        <w:pStyle w:val="Heading1"/>
      </w:pPr>
      <w:r w:rsidRPr="004715D7">
        <w:rPr>
          <w:i/>
          <w:iCs/>
        </w:rPr>
        <w:t>Bradwell v. Illinois</w:t>
      </w:r>
      <w:r w:rsidRPr="004715D7">
        <w:t xml:space="preserve"> (1873)</w:t>
      </w:r>
    </w:p>
    <w:p w14:paraId="0E5A0B03" w14:textId="62C80737" w:rsidR="00E50CA4" w:rsidRDefault="00E50CA4" w:rsidP="00B3755B">
      <w:pPr>
        <w:pStyle w:val="ListParagraph"/>
        <w:numPr>
          <w:ilvl w:val="0"/>
          <w:numId w:val="2"/>
        </w:numPr>
      </w:pPr>
      <w:r>
        <w:t xml:space="preserve">The paragraph preceding </w:t>
      </w:r>
      <w:r w:rsidRPr="004715D7">
        <w:t xml:space="preserve">Justice Bradley’s </w:t>
      </w:r>
      <w:r>
        <w:t>concurrence provides some helpful context.</w:t>
      </w:r>
    </w:p>
    <w:p w14:paraId="7B2DF5E3" w14:textId="0B77A16F" w:rsidR="004715D7" w:rsidRDefault="00E50CA4" w:rsidP="00B3755B">
      <w:pPr>
        <w:pStyle w:val="ListParagraph"/>
        <w:numPr>
          <w:ilvl w:val="0"/>
          <w:numId w:val="2"/>
        </w:numPr>
      </w:pPr>
      <w:r>
        <w:t xml:space="preserve">What is the plaintiff’s claim? </w:t>
      </w:r>
    </w:p>
    <w:p w14:paraId="0778DE91" w14:textId="4DBBAF90" w:rsidR="00E50CA4" w:rsidRDefault="00E50CA4" w:rsidP="00B3755B">
      <w:pPr>
        <w:pStyle w:val="ListParagraph"/>
        <w:numPr>
          <w:ilvl w:val="0"/>
          <w:numId w:val="2"/>
        </w:numPr>
      </w:pPr>
      <w:r>
        <w:t xml:space="preserve">How did the </w:t>
      </w:r>
      <w:r w:rsidRPr="00E50CA4">
        <w:t>Illinois</w:t>
      </w:r>
      <w:r>
        <w:t xml:space="preserve"> Supreme Court rule?</w:t>
      </w:r>
    </w:p>
    <w:p w14:paraId="72C99116" w14:textId="77777777" w:rsidR="001B781C" w:rsidRPr="001B781C" w:rsidRDefault="00E50CA4" w:rsidP="001B781C">
      <w:pPr>
        <w:pStyle w:val="ListParagraph"/>
        <w:numPr>
          <w:ilvl w:val="0"/>
          <w:numId w:val="2"/>
        </w:numPr>
        <w:rPr>
          <w:b/>
          <w:bCs/>
        </w:rPr>
      </w:pPr>
      <w:r w:rsidRPr="001B781C">
        <w:rPr>
          <w:b/>
          <w:bCs/>
        </w:rPr>
        <w:t xml:space="preserve">What is </w:t>
      </w:r>
      <w:r w:rsidR="001B781C" w:rsidRPr="001B781C">
        <w:rPr>
          <w:b/>
          <w:bCs/>
        </w:rPr>
        <w:t xml:space="preserve">Justice </w:t>
      </w:r>
      <w:r w:rsidRPr="001B781C">
        <w:rPr>
          <w:b/>
          <w:bCs/>
        </w:rPr>
        <w:t>Bradley’s objection to the argument that the 14th Amendment protects women’s right to practice the law?</w:t>
      </w:r>
      <w:r w:rsidR="001B781C" w:rsidRPr="001B781C">
        <w:rPr>
          <w:b/>
          <w:bCs/>
        </w:rPr>
        <w:t xml:space="preserve"> What about women who are “not affected by any of the duties, complications, and incapacities” of marriage?</w:t>
      </w:r>
    </w:p>
    <w:p w14:paraId="344B16BB" w14:textId="39CFE171" w:rsidR="00E50CA4" w:rsidRDefault="00E50CA4" w:rsidP="001B781C"/>
    <w:p w14:paraId="4E74EEDC" w14:textId="77777777" w:rsidR="001B781C" w:rsidRDefault="001B781C" w:rsidP="001B781C"/>
    <w:p w14:paraId="4ACC4DCF" w14:textId="77777777" w:rsidR="001B781C" w:rsidRDefault="001B781C" w:rsidP="001B781C"/>
    <w:p w14:paraId="0659B869" w14:textId="77777777" w:rsidR="001B781C" w:rsidRDefault="001B781C" w:rsidP="001B781C"/>
    <w:p w14:paraId="2EFA27E6" w14:textId="77777777" w:rsidR="001B781C" w:rsidRDefault="001B781C" w:rsidP="001B781C"/>
    <w:p w14:paraId="5C5A4707" w14:textId="77777777" w:rsidR="001B781C" w:rsidRDefault="001B781C" w:rsidP="001B781C"/>
    <w:p w14:paraId="3D7614C8" w14:textId="77777777" w:rsidR="007807EE" w:rsidRDefault="007807EE" w:rsidP="001B781C"/>
    <w:p w14:paraId="2C5FD9D3" w14:textId="77777777" w:rsidR="007807EE" w:rsidRDefault="007807EE" w:rsidP="001B781C"/>
    <w:p w14:paraId="11325EA0" w14:textId="77777777" w:rsidR="007807EE" w:rsidRDefault="007807EE" w:rsidP="001B781C"/>
    <w:p w14:paraId="1B3B0DA7" w14:textId="77777777" w:rsidR="007807EE" w:rsidRDefault="007807EE" w:rsidP="001B781C"/>
    <w:p w14:paraId="23EEB360" w14:textId="77777777" w:rsidR="001B781C" w:rsidRDefault="001B781C" w:rsidP="001B781C"/>
    <w:p w14:paraId="7A7B6CB0" w14:textId="77777777" w:rsidR="001B781C" w:rsidRDefault="001B781C" w:rsidP="001B781C"/>
    <w:p w14:paraId="691CCACA" w14:textId="19232622" w:rsidR="00E50CA4" w:rsidRPr="001B781C" w:rsidRDefault="00E50CA4" w:rsidP="00B3755B">
      <w:pPr>
        <w:pStyle w:val="ListParagraph"/>
        <w:numPr>
          <w:ilvl w:val="0"/>
          <w:numId w:val="2"/>
        </w:numPr>
        <w:rPr>
          <w:b/>
          <w:bCs/>
        </w:rPr>
      </w:pPr>
      <w:r w:rsidRPr="001B781C">
        <w:rPr>
          <w:b/>
          <w:bCs/>
        </w:rPr>
        <w:t xml:space="preserve">Where do you think </w:t>
      </w:r>
      <w:r w:rsidR="001B781C" w:rsidRPr="001B781C">
        <w:rPr>
          <w:b/>
          <w:bCs/>
        </w:rPr>
        <w:t xml:space="preserve">Justice </w:t>
      </w:r>
      <w:r w:rsidRPr="001B781C">
        <w:rPr>
          <w:b/>
          <w:bCs/>
        </w:rPr>
        <w:t>Bradley’s concurrence falls along the legal positivism/natural law theory spectrum?</w:t>
      </w:r>
    </w:p>
    <w:p w14:paraId="7F6B0886" w14:textId="77777777" w:rsidR="001B781C" w:rsidRDefault="001B781C" w:rsidP="001B781C"/>
    <w:p w14:paraId="2B9D8159" w14:textId="77777777" w:rsidR="001B781C" w:rsidRDefault="001B781C" w:rsidP="001B781C"/>
    <w:p w14:paraId="40336EC6" w14:textId="77777777" w:rsidR="007807EE" w:rsidRDefault="007807EE" w:rsidP="001B781C"/>
    <w:p w14:paraId="19E0C237" w14:textId="77777777" w:rsidR="001B781C" w:rsidRDefault="001B781C" w:rsidP="001B781C"/>
    <w:p w14:paraId="0D576BFD" w14:textId="77777777" w:rsidR="001B781C" w:rsidRDefault="001B781C" w:rsidP="001B781C"/>
    <w:p w14:paraId="63B2D197" w14:textId="52479F5F" w:rsidR="00E50CA4" w:rsidRDefault="001B781C" w:rsidP="00E50CA4">
      <w:pPr>
        <w:pStyle w:val="Heading1"/>
      </w:pPr>
      <w:r w:rsidRPr="001B781C">
        <w:rPr>
          <w:i/>
          <w:iCs/>
        </w:rPr>
        <w:t xml:space="preserve">Minor v. </w:t>
      </w:r>
      <w:proofErr w:type="spellStart"/>
      <w:r w:rsidRPr="001B781C">
        <w:rPr>
          <w:i/>
          <w:iCs/>
        </w:rPr>
        <w:t>Happersett</w:t>
      </w:r>
      <w:proofErr w:type="spellEnd"/>
      <w:r>
        <w:t xml:space="preserve"> (1874)</w:t>
      </w:r>
    </w:p>
    <w:p w14:paraId="7E3F42AD" w14:textId="2CB8D524" w:rsidR="001B781C" w:rsidRDefault="001B781C" w:rsidP="001B781C">
      <w:pPr>
        <w:pStyle w:val="ListParagraph"/>
        <w:numPr>
          <w:ilvl w:val="0"/>
          <w:numId w:val="2"/>
        </w:numPr>
      </w:pPr>
      <w:r>
        <w:t>Skim</w:t>
      </w:r>
      <w:r w:rsidRPr="001B781C">
        <w:t xml:space="preserve"> the </w:t>
      </w:r>
      <w:r w:rsidR="007807EE">
        <w:t>case</w:t>
      </w:r>
      <w:r>
        <w:t>, but note the holding and the reasoning, and again think about where the decision falls along the legal positivism/natural law theory spectrum. We are already discussing a lot of cases in this module, so we will unfortunately have to gloss over this one as it was decided under the Privileges or Immunities Clause of the 14th Amendment.</w:t>
      </w:r>
    </w:p>
    <w:p w14:paraId="3DACD6FD" w14:textId="32080544" w:rsidR="001B781C" w:rsidRDefault="001B781C" w:rsidP="001B781C">
      <w:pPr>
        <w:pStyle w:val="Heading1"/>
      </w:pPr>
      <w:r>
        <w:rPr>
          <w:i/>
          <w:iCs/>
        </w:rPr>
        <w:lastRenderedPageBreak/>
        <w:t>Muller v. Oregon</w:t>
      </w:r>
      <w:r w:rsidRPr="001B781C">
        <w:rPr>
          <w:i/>
          <w:iCs/>
        </w:rPr>
        <w:t xml:space="preserve"> </w:t>
      </w:r>
      <w:r>
        <w:t xml:space="preserve">(1908), </w:t>
      </w:r>
      <w:proofErr w:type="spellStart"/>
      <w:r w:rsidRPr="001B781C">
        <w:rPr>
          <w:i/>
          <w:iCs/>
        </w:rPr>
        <w:t>Goesaert</w:t>
      </w:r>
      <w:proofErr w:type="spellEnd"/>
      <w:r w:rsidRPr="001B781C">
        <w:rPr>
          <w:i/>
          <w:iCs/>
        </w:rPr>
        <w:t xml:space="preserve"> v. Cleary</w:t>
      </w:r>
      <w:r w:rsidRPr="001B781C">
        <w:t xml:space="preserve"> (1948)</w:t>
      </w:r>
      <w:r>
        <w:t xml:space="preserve">, and </w:t>
      </w:r>
      <w:r w:rsidRPr="001B781C">
        <w:rPr>
          <w:i/>
          <w:iCs/>
        </w:rPr>
        <w:t>Hoyt v. Florida</w:t>
      </w:r>
      <w:r w:rsidRPr="001B781C">
        <w:t xml:space="preserve"> (1961)</w:t>
      </w:r>
    </w:p>
    <w:p w14:paraId="168CE879" w14:textId="5CF4D2B8" w:rsidR="001B781C" w:rsidRPr="007807EE" w:rsidRDefault="001B781C" w:rsidP="001B781C">
      <w:pPr>
        <w:pStyle w:val="ListParagraph"/>
        <w:numPr>
          <w:ilvl w:val="0"/>
          <w:numId w:val="2"/>
        </w:numPr>
        <w:rPr>
          <w:b/>
          <w:bCs/>
        </w:rPr>
      </w:pPr>
      <w:r w:rsidRPr="007807EE">
        <w:rPr>
          <w:b/>
          <w:bCs/>
        </w:rPr>
        <w:t xml:space="preserve">For each of these </w:t>
      </w:r>
      <w:r w:rsidR="0071350D">
        <w:rPr>
          <w:b/>
          <w:bCs/>
        </w:rPr>
        <w:t xml:space="preserve">three </w:t>
      </w:r>
      <w:r w:rsidRPr="007807EE">
        <w:rPr>
          <w:b/>
          <w:bCs/>
        </w:rPr>
        <w:t>cases, please</w:t>
      </w:r>
      <w:r w:rsidR="007807EE" w:rsidRPr="007807EE">
        <w:rPr>
          <w:b/>
          <w:bCs/>
        </w:rPr>
        <w:t xml:space="preserve"> identify the Court’s ruling and</w:t>
      </w:r>
      <w:r w:rsidR="0071350D">
        <w:rPr>
          <w:b/>
          <w:bCs/>
        </w:rPr>
        <w:t xml:space="preserve"> then briefly explain</w:t>
      </w:r>
      <w:r w:rsidR="007807EE" w:rsidRPr="007807EE">
        <w:rPr>
          <w:b/>
          <w:bCs/>
        </w:rPr>
        <w:t xml:space="preserve"> its reasoning for ruling that way.</w:t>
      </w:r>
    </w:p>
    <w:p w14:paraId="5DC6CC2F" w14:textId="77777777" w:rsidR="001B781C" w:rsidRDefault="001B781C" w:rsidP="001B781C"/>
    <w:p w14:paraId="4813281F" w14:textId="77777777" w:rsidR="007807EE" w:rsidRDefault="007807EE" w:rsidP="001B781C"/>
    <w:p w14:paraId="1E1FF360" w14:textId="77777777" w:rsidR="007807EE" w:rsidRDefault="007807EE" w:rsidP="001B781C"/>
    <w:p w14:paraId="07F6663A" w14:textId="77777777" w:rsidR="007807EE" w:rsidRDefault="007807EE" w:rsidP="001B781C"/>
    <w:p w14:paraId="637A6B68" w14:textId="77777777" w:rsidR="007807EE" w:rsidRDefault="007807EE" w:rsidP="001B781C"/>
    <w:p w14:paraId="025FC9C7" w14:textId="77777777" w:rsidR="007807EE" w:rsidRDefault="007807EE" w:rsidP="001B781C"/>
    <w:p w14:paraId="53734A92" w14:textId="77777777" w:rsidR="007807EE" w:rsidRDefault="007807EE" w:rsidP="001B781C"/>
    <w:p w14:paraId="77755692" w14:textId="77777777" w:rsidR="007807EE" w:rsidRDefault="007807EE" w:rsidP="001B781C"/>
    <w:p w14:paraId="3984422C" w14:textId="77777777" w:rsidR="007807EE" w:rsidRDefault="007807EE" w:rsidP="001B781C"/>
    <w:p w14:paraId="5C7AF304" w14:textId="77777777" w:rsidR="007807EE" w:rsidRDefault="007807EE" w:rsidP="001B781C"/>
    <w:p w14:paraId="20A5B6C3" w14:textId="77777777" w:rsidR="007807EE" w:rsidRDefault="007807EE" w:rsidP="001B781C"/>
    <w:p w14:paraId="75A7992A" w14:textId="77777777" w:rsidR="007807EE" w:rsidRDefault="007807EE" w:rsidP="001B781C"/>
    <w:p w14:paraId="101FB404" w14:textId="77777777" w:rsidR="007807EE" w:rsidRDefault="007807EE" w:rsidP="001B781C"/>
    <w:p w14:paraId="46B63961" w14:textId="77777777" w:rsidR="007807EE" w:rsidRDefault="007807EE" w:rsidP="001B781C"/>
    <w:p w14:paraId="6C088072" w14:textId="1D348788" w:rsidR="00B17477" w:rsidRDefault="00B17477" w:rsidP="00B17477"/>
    <w:p w14:paraId="03403876" w14:textId="51C2C85B" w:rsidR="00B17477" w:rsidRDefault="00B17477" w:rsidP="00B17477"/>
    <w:p w14:paraId="388D1B76" w14:textId="18634487" w:rsidR="00B17477" w:rsidRDefault="00B17477" w:rsidP="00B17477"/>
    <w:p w14:paraId="49FA4DF0" w14:textId="77777777" w:rsidR="00B17477" w:rsidRDefault="00B17477" w:rsidP="00B17477"/>
    <w:p w14:paraId="7A56106B" w14:textId="067C0BB7" w:rsidR="00160E73" w:rsidRDefault="00160E73" w:rsidP="00160E73">
      <w:pPr>
        <w:pStyle w:val="Heading1"/>
      </w:pPr>
      <w:r w:rsidRPr="00160E73">
        <w:rPr>
          <w:i/>
          <w:iCs/>
        </w:rPr>
        <w:t>Loving v. Virginia</w:t>
      </w:r>
      <w:r>
        <w:t xml:space="preserve"> (1967)</w:t>
      </w:r>
    </w:p>
    <w:p w14:paraId="1D2577E1" w14:textId="7C30524E" w:rsidR="00160E73" w:rsidRDefault="0046141A" w:rsidP="00B3755B">
      <w:pPr>
        <w:pStyle w:val="ListParagraph"/>
        <w:numPr>
          <w:ilvl w:val="0"/>
          <w:numId w:val="2"/>
        </w:numPr>
      </w:pPr>
      <w:r>
        <w:t>What constitutional question does the case present? What is the Court’s answer?</w:t>
      </w:r>
    </w:p>
    <w:p w14:paraId="62BA5F05" w14:textId="41118CB1" w:rsidR="0046141A" w:rsidRPr="0046141A" w:rsidRDefault="0046141A" w:rsidP="00B3755B">
      <w:pPr>
        <w:pStyle w:val="ListParagraph"/>
        <w:numPr>
          <w:ilvl w:val="0"/>
          <w:numId w:val="2"/>
        </w:numPr>
      </w:pPr>
      <w:r>
        <w:t xml:space="preserve">Who are </w:t>
      </w:r>
      <w:r w:rsidRPr="00BE7EAF">
        <w:t>Mildred Jeter and Richard Loving? Where did they get married, and what happened when they returned to Virginia?</w:t>
      </w:r>
    </w:p>
    <w:p w14:paraId="2D7C8589" w14:textId="03B5AF6E" w:rsidR="0046141A" w:rsidRDefault="0046141A" w:rsidP="00B3755B">
      <w:pPr>
        <w:pStyle w:val="ListParagraph"/>
        <w:numPr>
          <w:ilvl w:val="0"/>
          <w:numId w:val="2"/>
        </w:numPr>
      </w:pPr>
      <w:r>
        <w:t>How did the trial court rule?</w:t>
      </w:r>
    </w:p>
    <w:p w14:paraId="6C17BDF0" w14:textId="5A8D52BE" w:rsidR="0046141A" w:rsidRDefault="0046141A" w:rsidP="007807EE">
      <w:pPr>
        <w:pStyle w:val="ListParagraph"/>
        <w:numPr>
          <w:ilvl w:val="0"/>
          <w:numId w:val="2"/>
        </w:numPr>
      </w:pPr>
      <w:r>
        <w:t>What does the Virginia law provide?</w:t>
      </w:r>
      <w:r w:rsidR="007807EE">
        <w:t xml:space="preserve"> </w:t>
      </w:r>
      <w:r>
        <w:t xml:space="preserve">What is the </w:t>
      </w:r>
      <w:r w:rsidR="007807EE">
        <w:t xml:space="preserve">law’s </w:t>
      </w:r>
      <w:r>
        <w:t>origin?</w:t>
      </w:r>
    </w:p>
    <w:p w14:paraId="4183A5D9" w14:textId="39879087" w:rsidR="0046141A" w:rsidRDefault="0046141A" w:rsidP="0046141A">
      <w:pPr>
        <w:pStyle w:val="Heading2"/>
      </w:pPr>
      <w:r>
        <w:t>Part I</w:t>
      </w:r>
    </w:p>
    <w:p w14:paraId="1CADBA80" w14:textId="56DA6B7E" w:rsidR="0046141A" w:rsidRDefault="0030086D" w:rsidP="00B3755B">
      <w:pPr>
        <w:pStyle w:val="ListParagraph"/>
        <w:numPr>
          <w:ilvl w:val="0"/>
          <w:numId w:val="2"/>
        </w:numPr>
      </w:pPr>
      <w:r>
        <w:t xml:space="preserve">For which two reasons did the state supreme court uphold the law? (Note </w:t>
      </w:r>
      <w:r w:rsidR="00B17477">
        <w:t>the way</w:t>
      </w:r>
      <w:r>
        <w:t xml:space="preserve"> this Court, that is, the U.S. Supreme Court, explicitly connects the purposes of the law to white supremacy.)</w:t>
      </w:r>
    </w:p>
    <w:p w14:paraId="1695318C" w14:textId="7DE2B69B" w:rsidR="00EE5F1C" w:rsidRPr="00EE5F1C" w:rsidRDefault="00EE5F1C" w:rsidP="00B3755B">
      <w:pPr>
        <w:pStyle w:val="ListParagraph"/>
        <w:numPr>
          <w:ilvl w:val="0"/>
          <w:numId w:val="2"/>
        </w:numPr>
        <w:rPr>
          <w:b/>
          <w:bCs/>
        </w:rPr>
      </w:pPr>
      <w:r w:rsidRPr="00EE5F1C">
        <w:rPr>
          <w:b/>
          <w:bCs/>
        </w:rPr>
        <w:t>What does the Virginia government take the Equal Protection Clause to mean?</w:t>
      </w:r>
    </w:p>
    <w:p w14:paraId="4280D110" w14:textId="03712E42" w:rsidR="00EE5F1C" w:rsidRDefault="00EE5F1C" w:rsidP="00EE5F1C"/>
    <w:p w14:paraId="28083DCB" w14:textId="5F3767D7" w:rsidR="00EE5F1C" w:rsidRDefault="00EE5F1C" w:rsidP="00EE5F1C"/>
    <w:p w14:paraId="6B978DCD" w14:textId="145A9299" w:rsidR="00EE5F1C" w:rsidRDefault="00EE5F1C" w:rsidP="00EE5F1C"/>
    <w:p w14:paraId="71B6B88B" w14:textId="77777777" w:rsidR="00B17477" w:rsidRDefault="00B17477" w:rsidP="00EE5F1C"/>
    <w:p w14:paraId="61EDDF9A" w14:textId="7AAC2EB2" w:rsidR="00EE5F1C" w:rsidRDefault="0030086D" w:rsidP="00B3755B">
      <w:pPr>
        <w:pStyle w:val="ListParagraph"/>
        <w:numPr>
          <w:ilvl w:val="0"/>
          <w:numId w:val="2"/>
        </w:numPr>
      </w:pPr>
      <w:r w:rsidRPr="003E53EA">
        <w:lastRenderedPageBreak/>
        <w:t xml:space="preserve">What </w:t>
      </w:r>
      <w:r w:rsidR="003E53EA" w:rsidRPr="003E53EA">
        <w:t>arguments does</w:t>
      </w:r>
      <w:r w:rsidRPr="003E53EA">
        <w:t xml:space="preserve"> the Virginia government</w:t>
      </w:r>
      <w:r w:rsidR="00EE5F1C" w:rsidRPr="003E53EA">
        <w:t xml:space="preserve"> provide</w:t>
      </w:r>
      <w:r w:rsidRPr="003E53EA">
        <w:t xml:space="preserve"> in defense of the law?</w:t>
      </w:r>
    </w:p>
    <w:p w14:paraId="53E30AD2" w14:textId="3FC1AF63" w:rsidR="0030086D" w:rsidRDefault="003E53EA" w:rsidP="00B3755B">
      <w:pPr>
        <w:pStyle w:val="ListParagraph"/>
        <w:numPr>
          <w:ilvl w:val="0"/>
          <w:numId w:val="2"/>
        </w:numPr>
      </w:pPr>
      <w:r>
        <w:t>On what grounds does the Court reject the equal application theory?</w:t>
      </w:r>
    </w:p>
    <w:p w14:paraId="7C4A9422" w14:textId="22D852C9" w:rsidR="003E53EA" w:rsidRDefault="003E53EA" w:rsidP="00B3755B">
      <w:pPr>
        <w:pStyle w:val="ListParagraph"/>
        <w:numPr>
          <w:ilvl w:val="0"/>
          <w:numId w:val="2"/>
        </w:numPr>
      </w:pPr>
      <w:r>
        <w:t>What is the Court’s response to the Virginia government’s objection based on the intent of the Framers?</w:t>
      </w:r>
    </w:p>
    <w:p w14:paraId="2D2679C5" w14:textId="03431AB7" w:rsidR="003E53EA" w:rsidRDefault="003E53EA" w:rsidP="00B3755B">
      <w:pPr>
        <w:pStyle w:val="ListParagraph"/>
        <w:numPr>
          <w:ilvl w:val="0"/>
          <w:numId w:val="2"/>
        </w:numPr>
      </w:pPr>
      <w:r>
        <w:t>What does this Court think is the “clear and central purpose of the Fourteenth Amendment”?</w:t>
      </w:r>
    </w:p>
    <w:p w14:paraId="4064910F" w14:textId="3C0D4D6C" w:rsidR="003E53EA" w:rsidRPr="00792997" w:rsidRDefault="003E53EA" w:rsidP="00B3755B">
      <w:pPr>
        <w:pStyle w:val="ListParagraph"/>
        <w:numPr>
          <w:ilvl w:val="0"/>
          <w:numId w:val="2"/>
        </w:numPr>
        <w:rPr>
          <w:b/>
          <w:bCs/>
        </w:rPr>
      </w:pPr>
      <w:r w:rsidRPr="00792997">
        <w:rPr>
          <w:b/>
          <w:bCs/>
        </w:rPr>
        <w:t>Why</w:t>
      </w:r>
      <w:r w:rsidR="007807EE">
        <w:rPr>
          <w:b/>
          <w:bCs/>
        </w:rPr>
        <w:t>, according to the Court,</w:t>
      </w:r>
      <w:r w:rsidRPr="00792997">
        <w:rPr>
          <w:b/>
          <w:bCs/>
        </w:rPr>
        <w:t xml:space="preserve"> </w:t>
      </w:r>
      <w:r w:rsidR="00792997" w:rsidRPr="00792997">
        <w:rPr>
          <w:b/>
          <w:bCs/>
        </w:rPr>
        <w:t>does</w:t>
      </w:r>
      <w:r w:rsidRPr="00792997">
        <w:rPr>
          <w:b/>
          <w:bCs/>
        </w:rPr>
        <w:t xml:space="preserve"> the Virginia law </w:t>
      </w:r>
      <w:r w:rsidR="007807EE">
        <w:rPr>
          <w:b/>
          <w:bCs/>
        </w:rPr>
        <w:t xml:space="preserve">discriminate </w:t>
      </w:r>
      <w:proofErr w:type="gramStart"/>
      <w:r w:rsidR="007807EE">
        <w:rPr>
          <w:b/>
          <w:bCs/>
        </w:rPr>
        <w:t>on the basis of</w:t>
      </w:r>
      <w:proofErr w:type="gramEnd"/>
      <w:r w:rsidR="007807EE">
        <w:rPr>
          <w:b/>
          <w:bCs/>
        </w:rPr>
        <w:t xml:space="preserve"> race</w:t>
      </w:r>
      <w:r w:rsidR="00792997" w:rsidRPr="00792997">
        <w:rPr>
          <w:b/>
          <w:bCs/>
        </w:rPr>
        <w:t xml:space="preserve"> when it applies to members of different races equally?</w:t>
      </w:r>
      <w:r w:rsidRPr="00792997">
        <w:rPr>
          <w:b/>
          <w:bCs/>
        </w:rPr>
        <w:t xml:space="preserve"> </w:t>
      </w:r>
    </w:p>
    <w:p w14:paraId="1E7C6B31" w14:textId="399C7F00" w:rsidR="00792997" w:rsidRDefault="00792997" w:rsidP="00792997"/>
    <w:p w14:paraId="43C0FEB6" w14:textId="5DF8728B" w:rsidR="00792997" w:rsidRDefault="00792997" w:rsidP="00792997"/>
    <w:p w14:paraId="1F4F23F4" w14:textId="09D298D9" w:rsidR="00792997" w:rsidRDefault="00792997" w:rsidP="00792997"/>
    <w:p w14:paraId="6F3E631E" w14:textId="4ACEC132" w:rsidR="00B17477" w:rsidRDefault="00B17477" w:rsidP="00792997"/>
    <w:p w14:paraId="78D68B07" w14:textId="59A09303" w:rsidR="00B17477" w:rsidRDefault="00B17477" w:rsidP="00792997"/>
    <w:p w14:paraId="0034C385" w14:textId="77777777" w:rsidR="00B17477" w:rsidRDefault="00B17477" w:rsidP="00792997"/>
    <w:p w14:paraId="2FB4D4FA" w14:textId="77777777" w:rsidR="007807EE" w:rsidRDefault="007807EE" w:rsidP="00792997"/>
    <w:p w14:paraId="034D8F4F" w14:textId="77777777" w:rsidR="007807EE" w:rsidRDefault="007807EE" w:rsidP="00792997"/>
    <w:p w14:paraId="472FC1A2" w14:textId="5D07AFF5" w:rsidR="00792997" w:rsidRDefault="00CD0E85" w:rsidP="00B3755B">
      <w:pPr>
        <w:pStyle w:val="ListParagraph"/>
        <w:numPr>
          <w:ilvl w:val="0"/>
          <w:numId w:val="2"/>
        </w:numPr>
      </w:pPr>
      <w:r>
        <w:t xml:space="preserve">What level of scrutiny </w:t>
      </w:r>
      <w:r w:rsidR="001244D7">
        <w:t>is</w:t>
      </w:r>
      <w:r>
        <w:t xml:space="preserve"> the Court apply</w:t>
      </w:r>
      <w:r w:rsidR="001244D7">
        <w:t>ing</w:t>
      </w:r>
      <w:r w:rsidR="00AC18A9">
        <w:t xml:space="preserve"> here</w:t>
      </w:r>
      <w:r w:rsidR="005F3203">
        <w:t>?</w:t>
      </w:r>
    </w:p>
    <w:p w14:paraId="26C01A8C" w14:textId="394231A4" w:rsidR="00CD0E85" w:rsidRDefault="00CD0E85" w:rsidP="00B3755B">
      <w:pPr>
        <w:pStyle w:val="ListParagraph"/>
        <w:numPr>
          <w:ilvl w:val="0"/>
          <w:numId w:val="2"/>
        </w:numPr>
      </w:pPr>
      <w:r>
        <w:t>What is the conclusion of the Court’s equal protection analysis? (Note that the Court explicitly says the Virginia law is a “</w:t>
      </w:r>
      <w:proofErr w:type="gramStart"/>
      <w:r>
        <w:t>measure[</w:t>
      </w:r>
      <w:proofErr w:type="gramEnd"/>
      <w:r>
        <w:t>] designed to maintain White Supremacy.”)</w:t>
      </w:r>
    </w:p>
    <w:p w14:paraId="50A2C781" w14:textId="0C62541D" w:rsidR="00CD0E85" w:rsidRDefault="00CD0E85" w:rsidP="00CD0E85">
      <w:pPr>
        <w:pStyle w:val="Heading2"/>
      </w:pPr>
      <w:r>
        <w:t>Part II</w:t>
      </w:r>
    </w:p>
    <w:p w14:paraId="67500745" w14:textId="35727FED" w:rsidR="00CD0E85" w:rsidRDefault="00CD0E85" w:rsidP="00B3755B">
      <w:pPr>
        <w:pStyle w:val="ListParagraph"/>
        <w:numPr>
          <w:ilvl w:val="0"/>
          <w:numId w:val="2"/>
        </w:numPr>
      </w:pPr>
      <w:r>
        <w:t xml:space="preserve">The Court argues the Virginia law also violates the Due Process Clause. What is the </w:t>
      </w:r>
      <w:r w:rsidR="00B17477">
        <w:t>Court’s reason</w:t>
      </w:r>
      <w:r w:rsidR="00982DD0">
        <w:t>ing</w:t>
      </w:r>
      <w:r>
        <w:t>?</w:t>
      </w:r>
    </w:p>
    <w:p w14:paraId="6F75D23B" w14:textId="1AE1EE12" w:rsidR="00CD0E85" w:rsidRDefault="00CD0E85" w:rsidP="00CD0E85">
      <w:pPr>
        <w:pStyle w:val="Heading1"/>
      </w:pPr>
      <w:r>
        <w:t>Pauli Murray and Mary Eastwood, “Jane Crow and the Law: Sex Discrimination and Title VII”</w:t>
      </w:r>
    </w:p>
    <w:p w14:paraId="721E9CD1" w14:textId="4C286731" w:rsidR="00CD0E85" w:rsidRDefault="007807EE" w:rsidP="007807EE">
      <w:pPr>
        <w:pStyle w:val="ListParagraph"/>
        <w:numPr>
          <w:ilvl w:val="0"/>
          <w:numId w:val="2"/>
        </w:numPr>
      </w:pPr>
      <w:r>
        <w:t xml:space="preserve">Side note: </w:t>
      </w:r>
      <w:r w:rsidR="005475A8">
        <w:t>Pauli Murray was an extraordinar</w:t>
      </w:r>
      <w:r w:rsidR="00F402DD">
        <w:t>ily influential</w:t>
      </w:r>
      <w:r w:rsidR="005475A8">
        <w:t xml:space="preserve"> </w:t>
      </w:r>
      <w:r w:rsidR="006A2477">
        <w:t xml:space="preserve">Black woman/nonbinary </w:t>
      </w:r>
      <w:r w:rsidR="00F402DD">
        <w:t>lawyer</w:t>
      </w:r>
      <w:r>
        <w:t xml:space="preserve"> (we are not very sure what Murray’s gender identity was)</w:t>
      </w:r>
      <w:r w:rsidR="005475A8">
        <w:t xml:space="preserve"> who</w:t>
      </w:r>
      <w:r w:rsidR="00B17477">
        <w:t xml:space="preserve"> helped</w:t>
      </w:r>
      <w:r w:rsidR="005475A8">
        <w:t xml:space="preserve"> pioneer </w:t>
      </w:r>
      <w:r w:rsidR="00336EA6">
        <w:t xml:space="preserve">the legal strategy </w:t>
      </w:r>
      <w:r w:rsidR="00BE7EAF">
        <w:t>later used by</w:t>
      </w:r>
      <w:r w:rsidR="00336EA6">
        <w:t xml:space="preserve"> </w:t>
      </w:r>
      <w:r w:rsidR="00BE7EAF">
        <w:t xml:space="preserve">then Professor </w:t>
      </w:r>
      <w:r w:rsidR="00336EA6">
        <w:t xml:space="preserve">Ruth Bader Ginsburg in </w:t>
      </w:r>
      <w:r w:rsidR="00BE7EAF">
        <w:t>litigating the first successful</w:t>
      </w:r>
      <w:r w:rsidR="00336EA6">
        <w:t xml:space="preserve"> sex discrimination</w:t>
      </w:r>
      <w:r w:rsidR="00BE7EAF">
        <w:t xml:space="preserve"> case</w:t>
      </w:r>
      <w:r w:rsidR="00B17477">
        <w:t>s</w:t>
      </w:r>
      <w:r w:rsidR="00BE7EAF">
        <w:t xml:space="preserve"> before the U.S. Supreme Court</w:t>
      </w:r>
      <w:r w:rsidR="00336EA6">
        <w:t xml:space="preserve">. </w:t>
      </w:r>
      <w:r w:rsidR="00B17477">
        <w:t>But</w:t>
      </w:r>
      <w:r w:rsidR="00336EA6">
        <w:t xml:space="preserve"> Murray’s </w:t>
      </w:r>
      <w:r w:rsidR="00F402DD">
        <w:t>legacy</w:t>
      </w:r>
      <w:r w:rsidR="00336EA6">
        <w:t xml:space="preserve"> has been </w:t>
      </w:r>
      <w:r w:rsidR="00B17477">
        <w:t>very much</w:t>
      </w:r>
      <w:r w:rsidR="00336EA6" w:rsidRPr="00336EA6">
        <w:t xml:space="preserve"> </w:t>
      </w:r>
      <w:r w:rsidR="00336EA6">
        <w:t xml:space="preserve">underrecognized. </w:t>
      </w:r>
      <w:r w:rsidR="00417038">
        <w:t>If you want to learn more about them, t</w:t>
      </w:r>
      <w:r>
        <w:t xml:space="preserve">here </w:t>
      </w:r>
      <w:r w:rsidR="006C42F1">
        <w:t>is</w:t>
      </w:r>
      <w:r>
        <w:t xml:space="preserve"> a </w:t>
      </w:r>
      <w:r w:rsidR="006C42F1">
        <w:t>new</w:t>
      </w:r>
      <w:r>
        <w:t xml:space="preserve"> documentary</w:t>
      </w:r>
      <w:r w:rsidR="005475A8">
        <w:t xml:space="preserve"> </w:t>
      </w:r>
      <w:r w:rsidR="00BE7EAF">
        <w:t>featuring</w:t>
      </w:r>
      <w:r w:rsidR="005475A8">
        <w:t xml:space="preserve"> Murray</w:t>
      </w:r>
      <w:r w:rsidR="00BE7EAF">
        <w:t>’s life</w:t>
      </w:r>
      <w:r>
        <w:t xml:space="preserve">, </w:t>
      </w:r>
      <w:hyperlink r:id="rId8" w:history="1">
        <w:r w:rsidR="005475A8" w:rsidRPr="007807EE">
          <w:rPr>
            <w:rStyle w:val="Hyperlink"/>
            <w:i/>
            <w:iCs/>
          </w:rPr>
          <w:t>My Name Is Pauli Murray</w:t>
        </w:r>
      </w:hyperlink>
      <w:r w:rsidR="00102A5A">
        <w:t xml:space="preserve">, </w:t>
      </w:r>
      <w:r>
        <w:t>which unfortunately is now available only on Amazon Prime Video</w:t>
      </w:r>
      <w:r w:rsidR="00102A5A">
        <w:t>.</w:t>
      </w:r>
    </w:p>
    <w:p w14:paraId="32D13805" w14:textId="38D70BF4" w:rsidR="006A0B03" w:rsidRDefault="006A0B03" w:rsidP="006A0B03">
      <w:pPr>
        <w:pStyle w:val="Heading2"/>
      </w:pPr>
      <w:r>
        <w:t>Introduction</w:t>
      </w:r>
    </w:p>
    <w:p w14:paraId="72929C0C" w14:textId="44A4DAAA" w:rsidR="00A941DC" w:rsidRDefault="006A0B03" w:rsidP="00567743">
      <w:pPr>
        <w:pStyle w:val="ListParagraph"/>
        <w:numPr>
          <w:ilvl w:val="0"/>
          <w:numId w:val="2"/>
        </w:numPr>
      </w:pPr>
      <w:r>
        <w:t>What</w:t>
      </w:r>
      <w:r w:rsidR="00663FDE">
        <w:t>’s</w:t>
      </w:r>
      <w:r>
        <w:t xml:space="preserve"> so different about the 1960s </w:t>
      </w:r>
      <w:r w:rsidR="00663FDE">
        <w:t>when it comes to</w:t>
      </w:r>
      <w:r>
        <w:t xml:space="preserve"> women’s rights?</w:t>
      </w:r>
    </w:p>
    <w:p w14:paraId="1AA86675" w14:textId="1EDBD54D" w:rsidR="006A0B03" w:rsidRDefault="006A0B03" w:rsidP="00567743">
      <w:pPr>
        <w:pStyle w:val="ListParagraph"/>
        <w:numPr>
          <w:ilvl w:val="0"/>
          <w:numId w:val="2"/>
        </w:numPr>
      </w:pPr>
      <w:r>
        <w:lastRenderedPageBreak/>
        <w:t xml:space="preserve">Which two problems </w:t>
      </w:r>
      <w:proofErr w:type="gramStart"/>
      <w:r>
        <w:t>still remain</w:t>
      </w:r>
      <w:proofErr w:type="gramEnd"/>
      <w:r>
        <w:t>?</w:t>
      </w:r>
    </w:p>
    <w:p w14:paraId="230EE89C" w14:textId="799C002C" w:rsidR="006A0B03" w:rsidRDefault="006A0B03" w:rsidP="006A0B03">
      <w:pPr>
        <w:pStyle w:val="Heading2"/>
      </w:pPr>
      <w:r>
        <w:t>Antifeminism and Racism</w:t>
      </w:r>
    </w:p>
    <w:p w14:paraId="035BD72B" w14:textId="5AB02C62" w:rsidR="006A0B03" w:rsidRDefault="006A0B03" w:rsidP="00B3755B">
      <w:pPr>
        <w:pStyle w:val="ListParagraph"/>
        <w:numPr>
          <w:ilvl w:val="0"/>
          <w:numId w:val="2"/>
        </w:numPr>
      </w:pPr>
      <w:r>
        <w:t>Why do Murray and Eastwood (</w:t>
      </w:r>
      <w:r w:rsidR="00BE7EAF">
        <w:t xml:space="preserve">whom Murray likely met while serving on a study committee of President Kenney’s </w:t>
      </w:r>
      <w:r w:rsidR="00BE7EAF" w:rsidRPr="00BE7EAF">
        <w:t>Commission on the Status of Women</w:t>
      </w:r>
      <w:r w:rsidR="00663FDE">
        <w:t xml:space="preserve">, </w:t>
      </w:r>
      <w:r w:rsidR="002C2113">
        <w:t>whose work</w:t>
      </w:r>
      <w:r w:rsidR="00663FDE">
        <w:t xml:space="preserve"> helped jumpstart second-wave feminism</w:t>
      </w:r>
      <w:r>
        <w:t xml:space="preserve">) find it useful to </w:t>
      </w:r>
      <w:r w:rsidR="00F44DF1">
        <w:t>compare sex discrimination and racial discrimination?</w:t>
      </w:r>
    </w:p>
    <w:p w14:paraId="6370760E" w14:textId="0374E656" w:rsidR="00F44DF1" w:rsidRPr="00F44DF1" w:rsidRDefault="00F44DF1" w:rsidP="00B3755B">
      <w:pPr>
        <w:pStyle w:val="ListParagraph"/>
        <w:numPr>
          <w:ilvl w:val="0"/>
          <w:numId w:val="2"/>
        </w:numPr>
        <w:rPr>
          <w:b/>
          <w:bCs/>
        </w:rPr>
      </w:pPr>
      <w:r w:rsidRPr="00F44DF1">
        <w:rPr>
          <w:b/>
          <w:bCs/>
        </w:rPr>
        <w:t xml:space="preserve">In which respects </w:t>
      </w:r>
      <w:r w:rsidR="003E6EA8">
        <w:rPr>
          <w:b/>
          <w:bCs/>
        </w:rPr>
        <w:t>is</w:t>
      </w:r>
      <w:r w:rsidRPr="00F44DF1">
        <w:rPr>
          <w:b/>
          <w:bCs/>
        </w:rPr>
        <w:t xml:space="preserve"> sex discrimination </w:t>
      </w:r>
      <w:r w:rsidR="003E6EA8" w:rsidRPr="00F44DF1">
        <w:rPr>
          <w:b/>
          <w:bCs/>
        </w:rPr>
        <w:t xml:space="preserve">analogous </w:t>
      </w:r>
      <w:r w:rsidR="003E6EA8">
        <w:rPr>
          <w:b/>
          <w:bCs/>
        </w:rPr>
        <w:t>to</w:t>
      </w:r>
      <w:r w:rsidRPr="00F44DF1">
        <w:rPr>
          <w:b/>
          <w:bCs/>
        </w:rPr>
        <w:t xml:space="preserve"> racial discrimination?</w:t>
      </w:r>
    </w:p>
    <w:p w14:paraId="12AB0658" w14:textId="43756722" w:rsidR="00F44DF1" w:rsidRDefault="00F44DF1" w:rsidP="00F44DF1">
      <w:pPr>
        <w:jc w:val="left"/>
      </w:pPr>
    </w:p>
    <w:p w14:paraId="0A0249A3" w14:textId="14CFB43B" w:rsidR="00F44DF1" w:rsidRDefault="00F44DF1" w:rsidP="00F44DF1">
      <w:pPr>
        <w:jc w:val="left"/>
      </w:pPr>
    </w:p>
    <w:p w14:paraId="7F41EFE1" w14:textId="7D797796" w:rsidR="00F44DF1" w:rsidRDefault="00F44DF1" w:rsidP="00F44DF1">
      <w:pPr>
        <w:jc w:val="left"/>
      </w:pPr>
    </w:p>
    <w:p w14:paraId="37ED9FD1" w14:textId="3218E52D" w:rsidR="00A941DC" w:rsidRDefault="00A941DC" w:rsidP="00F44DF1">
      <w:pPr>
        <w:jc w:val="left"/>
      </w:pPr>
    </w:p>
    <w:p w14:paraId="001CB76F" w14:textId="68B5C6C2" w:rsidR="00A941DC" w:rsidRDefault="00A941DC" w:rsidP="00F44DF1">
      <w:pPr>
        <w:jc w:val="left"/>
      </w:pPr>
    </w:p>
    <w:p w14:paraId="2096EB7A" w14:textId="58D477DE" w:rsidR="00A941DC" w:rsidRDefault="00A941DC" w:rsidP="00F44DF1">
      <w:pPr>
        <w:jc w:val="left"/>
      </w:pPr>
    </w:p>
    <w:p w14:paraId="6A07639A" w14:textId="77777777" w:rsidR="00A941DC" w:rsidRDefault="00A941DC" w:rsidP="00F44DF1">
      <w:pPr>
        <w:jc w:val="left"/>
      </w:pPr>
    </w:p>
    <w:p w14:paraId="54B4F4B2" w14:textId="6138B847" w:rsidR="00F44DF1" w:rsidRDefault="00F44DF1" w:rsidP="00F44DF1">
      <w:pPr>
        <w:pStyle w:val="Heading2"/>
      </w:pPr>
      <w:r>
        <w:t>Equality of Rights Under the Constitution</w:t>
      </w:r>
    </w:p>
    <w:p w14:paraId="535ABD92" w14:textId="31F0BE4E" w:rsidR="00F44DF1" w:rsidRDefault="00F44DF1" w:rsidP="00B3755B">
      <w:pPr>
        <w:pStyle w:val="ListParagraph"/>
        <w:numPr>
          <w:ilvl w:val="0"/>
          <w:numId w:val="2"/>
        </w:numPr>
      </w:pPr>
      <w:r>
        <w:t>What is the Equal Rights Amendment?</w:t>
      </w:r>
    </w:p>
    <w:p w14:paraId="40FB5725" w14:textId="2413AB1E" w:rsidR="00F44DF1" w:rsidRDefault="00F44DF1" w:rsidP="00B3755B">
      <w:pPr>
        <w:pStyle w:val="ListParagraph"/>
        <w:numPr>
          <w:ilvl w:val="0"/>
          <w:numId w:val="2"/>
        </w:numPr>
      </w:pPr>
      <w:r>
        <w:t xml:space="preserve">Murray </w:t>
      </w:r>
      <w:r w:rsidR="009C1009">
        <w:t xml:space="preserve">and Eastwood </w:t>
      </w:r>
      <w:r>
        <w:t xml:space="preserve">then explain the controversy surrounding the </w:t>
      </w:r>
      <w:r w:rsidR="00552C30">
        <w:t>issue</w:t>
      </w:r>
      <w:r>
        <w:t xml:space="preserve"> of whether the Constitution already provides women with </w:t>
      </w:r>
      <w:r w:rsidR="00E14630">
        <w:t xml:space="preserve">the </w:t>
      </w:r>
      <w:r>
        <w:t>equal protection of the laws even without the Equal Rights Amendment.</w:t>
      </w:r>
    </w:p>
    <w:p w14:paraId="52D5EB77" w14:textId="02020158" w:rsidR="00F44DF1" w:rsidRDefault="00F44DF1" w:rsidP="00B3755B">
      <w:pPr>
        <w:pStyle w:val="ListParagraph"/>
        <w:numPr>
          <w:ilvl w:val="0"/>
          <w:numId w:val="2"/>
        </w:numPr>
      </w:pPr>
      <w:r>
        <w:t xml:space="preserve">Skim the discussion of </w:t>
      </w:r>
      <w:r>
        <w:rPr>
          <w:i/>
          <w:iCs/>
        </w:rPr>
        <w:t>Muller</w:t>
      </w:r>
      <w:r>
        <w:t>.</w:t>
      </w:r>
    </w:p>
    <w:p w14:paraId="21FA3A74" w14:textId="3FBE35C1" w:rsidR="00F44DF1" w:rsidRPr="00C91CC5" w:rsidRDefault="00C91CC5" w:rsidP="00B3755B">
      <w:pPr>
        <w:pStyle w:val="ListParagraph"/>
        <w:numPr>
          <w:ilvl w:val="0"/>
          <w:numId w:val="2"/>
        </w:numPr>
        <w:rPr>
          <w:b/>
          <w:bCs/>
        </w:rPr>
      </w:pPr>
      <w:r w:rsidRPr="00C91CC5">
        <w:rPr>
          <w:b/>
          <w:bCs/>
        </w:rPr>
        <w:t xml:space="preserve">How can the Equal Protection Clause cover sex discrimination when the U.S. Supreme Court has never </w:t>
      </w:r>
      <w:r w:rsidR="00E920B0">
        <w:rPr>
          <w:b/>
          <w:bCs/>
        </w:rPr>
        <w:t>invalidated</w:t>
      </w:r>
      <w:r w:rsidRPr="00C91CC5">
        <w:rPr>
          <w:b/>
          <w:bCs/>
        </w:rPr>
        <w:t xml:space="preserve"> a sex discriminatory law for violating equal protection?</w:t>
      </w:r>
    </w:p>
    <w:p w14:paraId="0414589C" w14:textId="0DF9A7F7" w:rsidR="00C91CC5" w:rsidRDefault="00C91CC5" w:rsidP="00C91CC5"/>
    <w:p w14:paraId="3DAD5492" w14:textId="3D923477" w:rsidR="00C91CC5" w:rsidRDefault="00C91CC5" w:rsidP="00C91CC5"/>
    <w:p w14:paraId="32D78D72" w14:textId="77777777" w:rsidR="00E920B0" w:rsidRDefault="00E920B0" w:rsidP="00C91CC5"/>
    <w:p w14:paraId="2CF38163" w14:textId="3884F0A0" w:rsidR="00C91CC5" w:rsidRDefault="00C91CC5" w:rsidP="00C91CC5"/>
    <w:p w14:paraId="5F0FF042" w14:textId="77777777" w:rsidR="00A941DC" w:rsidRDefault="00A941DC" w:rsidP="00C91CC5"/>
    <w:p w14:paraId="33E772B2" w14:textId="7C0D8A43" w:rsidR="00C91CC5" w:rsidRDefault="00C91CC5" w:rsidP="00B3755B">
      <w:pPr>
        <w:pStyle w:val="ListParagraph"/>
        <w:numPr>
          <w:ilvl w:val="0"/>
          <w:numId w:val="2"/>
        </w:numPr>
      </w:pPr>
      <w:r>
        <w:t>What is the distinction between sex per se and the functional attributes of sex?</w:t>
      </w:r>
    </w:p>
    <w:p w14:paraId="2E7E18B0" w14:textId="1CB8D82C" w:rsidR="00C91CC5" w:rsidRDefault="00C91CC5" w:rsidP="00B3755B">
      <w:pPr>
        <w:pStyle w:val="ListParagraph"/>
        <w:numPr>
          <w:ilvl w:val="0"/>
          <w:numId w:val="2"/>
        </w:numPr>
        <w:rPr>
          <w:b/>
          <w:bCs/>
        </w:rPr>
      </w:pPr>
      <w:r w:rsidRPr="00A941DC">
        <w:rPr>
          <w:b/>
          <w:bCs/>
        </w:rPr>
        <w:t>What are two misconceptions about what women’s equality means?</w:t>
      </w:r>
    </w:p>
    <w:p w14:paraId="7A49D537" w14:textId="6AC978FF" w:rsidR="00A941DC" w:rsidRDefault="00A941DC" w:rsidP="00A941DC"/>
    <w:p w14:paraId="4E33CCBE" w14:textId="34426379" w:rsidR="00A941DC" w:rsidRDefault="00A941DC" w:rsidP="00A941DC"/>
    <w:p w14:paraId="710E7395" w14:textId="77777777" w:rsidR="00A941DC" w:rsidRPr="00A941DC" w:rsidRDefault="00A941DC" w:rsidP="00A941DC"/>
    <w:p w14:paraId="12DBB103" w14:textId="11226CAD" w:rsidR="00A941DC" w:rsidRPr="00A941DC" w:rsidRDefault="00A941DC" w:rsidP="00A941DC"/>
    <w:p w14:paraId="70AFDF3E" w14:textId="261448C8" w:rsidR="00A941DC" w:rsidRPr="00A941DC" w:rsidRDefault="00A941DC" w:rsidP="00A941DC"/>
    <w:p w14:paraId="7338F2DA" w14:textId="77777777" w:rsidR="00A941DC" w:rsidRPr="00A941DC" w:rsidRDefault="00A941DC" w:rsidP="00A941DC"/>
    <w:p w14:paraId="3E2825CC" w14:textId="5563964B" w:rsidR="00C91CC5" w:rsidRPr="0093356A" w:rsidRDefault="0093356A" w:rsidP="00B3755B">
      <w:pPr>
        <w:pStyle w:val="ListParagraph"/>
        <w:numPr>
          <w:ilvl w:val="0"/>
          <w:numId w:val="2"/>
        </w:numPr>
        <w:rPr>
          <w:b/>
          <w:bCs/>
        </w:rPr>
      </w:pPr>
      <w:r w:rsidRPr="0093356A">
        <w:rPr>
          <w:b/>
          <w:bCs/>
        </w:rPr>
        <w:lastRenderedPageBreak/>
        <w:t xml:space="preserve">How does the distinction between sex per se and the functional attributes of sex provide a response to the second </w:t>
      </w:r>
      <w:r w:rsidR="00DF5CE8">
        <w:rPr>
          <w:b/>
          <w:bCs/>
        </w:rPr>
        <w:t xml:space="preserve">of these </w:t>
      </w:r>
      <w:r w:rsidRPr="0093356A">
        <w:rPr>
          <w:b/>
          <w:bCs/>
        </w:rPr>
        <w:t>misconception</w:t>
      </w:r>
      <w:r w:rsidR="00DF5CE8">
        <w:rPr>
          <w:b/>
          <w:bCs/>
        </w:rPr>
        <w:t>s</w:t>
      </w:r>
      <w:r w:rsidRPr="0093356A">
        <w:rPr>
          <w:b/>
          <w:bCs/>
        </w:rPr>
        <w:t>?</w:t>
      </w:r>
    </w:p>
    <w:p w14:paraId="17513C5C" w14:textId="16CAD97D" w:rsidR="0093356A" w:rsidRDefault="0093356A" w:rsidP="0093356A"/>
    <w:p w14:paraId="7F065F3B" w14:textId="4CADE637" w:rsidR="0093356A" w:rsidRDefault="0093356A" w:rsidP="0093356A"/>
    <w:p w14:paraId="4665A96A" w14:textId="452134C1" w:rsidR="00A941DC" w:rsidRDefault="00A941DC" w:rsidP="0093356A"/>
    <w:p w14:paraId="29635C36" w14:textId="77777777" w:rsidR="00DF5CE8" w:rsidRDefault="00DF5CE8" w:rsidP="0093356A"/>
    <w:p w14:paraId="25F1A383" w14:textId="77777777" w:rsidR="00A941DC" w:rsidRDefault="00A941DC" w:rsidP="0093356A"/>
    <w:p w14:paraId="4A473B90" w14:textId="77777777" w:rsidR="00A941DC" w:rsidRDefault="00A941DC" w:rsidP="0093356A"/>
    <w:p w14:paraId="01A06B47" w14:textId="77777777" w:rsidR="0093356A" w:rsidRDefault="0093356A" w:rsidP="0093356A"/>
    <w:p w14:paraId="3DA3CD2B" w14:textId="4AA7A712" w:rsidR="0093356A" w:rsidRPr="0093356A" w:rsidRDefault="0093356A" w:rsidP="00B3755B">
      <w:pPr>
        <w:pStyle w:val="ListParagraph"/>
        <w:numPr>
          <w:ilvl w:val="0"/>
          <w:numId w:val="2"/>
        </w:numPr>
        <w:rPr>
          <w:b/>
          <w:bCs/>
        </w:rPr>
      </w:pPr>
      <w:r w:rsidRPr="0093356A">
        <w:rPr>
          <w:b/>
          <w:bCs/>
        </w:rPr>
        <w:t xml:space="preserve">How does the “separate-but-equal” doctrine shed light on women’s </w:t>
      </w:r>
      <w:r w:rsidR="00BE7EAF">
        <w:rPr>
          <w:b/>
          <w:bCs/>
        </w:rPr>
        <w:t>in</w:t>
      </w:r>
      <w:r w:rsidRPr="0093356A">
        <w:rPr>
          <w:b/>
          <w:bCs/>
        </w:rPr>
        <w:t>equality?</w:t>
      </w:r>
    </w:p>
    <w:p w14:paraId="7BE5388C" w14:textId="29C4E21A" w:rsidR="0093356A" w:rsidRDefault="0093356A" w:rsidP="0093356A"/>
    <w:p w14:paraId="0122B5C6" w14:textId="2BA4147E" w:rsidR="00A941DC" w:rsidRDefault="00A941DC" w:rsidP="0093356A"/>
    <w:p w14:paraId="0A49F05F" w14:textId="77777777" w:rsidR="00DF5CE8" w:rsidRDefault="00DF5CE8" w:rsidP="0093356A"/>
    <w:p w14:paraId="50B2FC04" w14:textId="7D7B0D6A" w:rsidR="00A941DC" w:rsidRDefault="00A941DC" w:rsidP="0093356A"/>
    <w:p w14:paraId="74BE8980" w14:textId="77777777" w:rsidR="00A941DC" w:rsidRDefault="00A941DC" w:rsidP="0093356A"/>
    <w:p w14:paraId="7396B918" w14:textId="7847C47A" w:rsidR="0093356A" w:rsidRDefault="0093356A" w:rsidP="0093356A"/>
    <w:p w14:paraId="744978C6" w14:textId="77777777" w:rsidR="0093356A" w:rsidRDefault="0093356A" w:rsidP="0093356A"/>
    <w:p w14:paraId="345CF1C1" w14:textId="1925A141" w:rsidR="0093356A" w:rsidRDefault="0093356A" w:rsidP="00B3755B">
      <w:pPr>
        <w:pStyle w:val="ListParagraph"/>
        <w:numPr>
          <w:ilvl w:val="0"/>
          <w:numId w:val="2"/>
        </w:numPr>
      </w:pPr>
      <w:r>
        <w:t xml:space="preserve">Murray and Eastwood then clarify </w:t>
      </w:r>
      <w:r w:rsidR="00B12E51">
        <w:t xml:space="preserve">that </w:t>
      </w:r>
      <w:r>
        <w:t xml:space="preserve">their interpretation of equal protection would not invalidate two categories of laws. What are </w:t>
      </w:r>
      <w:r w:rsidR="00BE7EAF">
        <w:t>they</w:t>
      </w:r>
      <w:r>
        <w:t>? Why would they be able to stand?</w:t>
      </w:r>
    </w:p>
    <w:p w14:paraId="33AB171B" w14:textId="0DAC3A41" w:rsidR="0093356A" w:rsidRDefault="0093356A" w:rsidP="00B3755B">
      <w:pPr>
        <w:pStyle w:val="ListParagraph"/>
        <w:numPr>
          <w:ilvl w:val="0"/>
          <w:numId w:val="2"/>
        </w:numPr>
      </w:pPr>
      <w:r>
        <w:t>What are some other implications of Murray and Eastwood’s interpretation?</w:t>
      </w:r>
    </w:p>
    <w:p w14:paraId="556C084E" w14:textId="459F6515" w:rsidR="001546E8" w:rsidRDefault="008D4963" w:rsidP="001546E8">
      <w:pPr>
        <w:pStyle w:val="ListParagraph"/>
        <w:numPr>
          <w:ilvl w:val="0"/>
          <w:numId w:val="2"/>
        </w:numPr>
      </w:pPr>
      <w:r>
        <w:t xml:space="preserve">Murray and Eastwood </w:t>
      </w:r>
      <w:r w:rsidR="0093356A">
        <w:t>then pivot to Title VII</w:t>
      </w:r>
      <w:r>
        <w:t xml:space="preserve">, which is part of the Civil Rights Act of 1964. Recall our discussion in Module 1 that the Equal Protection Clause </w:t>
      </w:r>
      <w:r w:rsidR="005F3203">
        <w:t xml:space="preserve">of the 14th Amendment </w:t>
      </w:r>
      <w:r>
        <w:t>generally does not apply to private employers. This is where Title VII</w:t>
      </w:r>
      <w:r w:rsidR="005F3203">
        <w:t>, a statutory provision,</w:t>
      </w:r>
      <w:r>
        <w:t xml:space="preserve"> becomes </w:t>
      </w:r>
      <w:r w:rsidR="0069563C">
        <w:t>relevant</w:t>
      </w:r>
      <w:r w:rsidR="001546E8">
        <w:t xml:space="preserve">. </w:t>
      </w:r>
      <w:r w:rsidR="00E920B0">
        <w:t xml:space="preserve">We will come back to Title VII in later modules. For now, </w:t>
      </w:r>
      <w:r w:rsidR="00A941DC">
        <w:t>let’s</w:t>
      </w:r>
      <w:r w:rsidR="001546E8">
        <w:t xml:space="preserve"> focus on the constitutional issue and skip the rest of the </w:t>
      </w:r>
      <w:r w:rsidR="00BE7EAF">
        <w:t>article</w:t>
      </w:r>
      <w:r w:rsidR="001546E8">
        <w:t>.</w:t>
      </w:r>
    </w:p>
    <w:p w14:paraId="47E11AE2" w14:textId="77777777" w:rsidR="00F459DD" w:rsidRDefault="0098782B" w:rsidP="0098782B">
      <w:pPr>
        <w:pStyle w:val="Heading1"/>
      </w:pPr>
      <w:r w:rsidRPr="0098782B">
        <w:rPr>
          <w:i/>
          <w:iCs/>
        </w:rPr>
        <w:t>Reed v. Reed</w:t>
      </w:r>
      <w:r>
        <w:t xml:space="preserve"> (1971)</w:t>
      </w:r>
    </w:p>
    <w:p w14:paraId="72BE17A4" w14:textId="5AB4B459" w:rsidR="00F459DD" w:rsidRDefault="00F459DD" w:rsidP="00F459DD">
      <w:pPr>
        <w:pStyle w:val="Heading2"/>
      </w:pPr>
      <w:r>
        <w:t>Brief for Appellant</w:t>
      </w:r>
    </w:p>
    <w:p w14:paraId="6177AC12" w14:textId="1E86D546" w:rsidR="00F459DD" w:rsidRDefault="00400303" w:rsidP="00F459DD">
      <w:pPr>
        <w:pStyle w:val="ListParagraph"/>
        <w:numPr>
          <w:ilvl w:val="0"/>
          <w:numId w:val="2"/>
        </w:numPr>
      </w:pPr>
      <w:r>
        <w:t>Note the co-counsel listed</w:t>
      </w:r>
      <w:r w:rsidR="00BE7EAF">
        <w:t xml:space="preserve"> </w:t>
      </w:r>
      <w:r>
        <w:t xml:space="preserve">on the </w:t>
      </w:r>
      <w:r w:rsidR="00BE7EAF">
        <w:t>t</w:t>
      </w:r>
      <w:r w:rsidR="00F459DD">
        <w:t>itle page: Ruth Bader Ginsburg, then-professor at Rutgers Law School</w:t>
      </w:r>
      <w:r w:rsidR="00DF5CE8">
        <w:t>;</w:t>
      </w:r>
      <w:r w:rsidR="00BE7EAF">
        <w:t xml:space="preserve"> </w:t>
      </w:r>
      <w:r w:rsidR="00F459DD" w:rsidRPr="00F459DD">
        <w:t>Mel Wulf</w:t>
      </w:r>
      <w:r w:rsidR="00F459DD">
        <w:t xml:space="preserve">, ACLU’s legal director </w:t>
      </w:r>
      <w:r w:rsidR="00BE7EAF">
        <w:t>who co-</w:t>
      </w:r>
      <w:r w:rsidR="006B2046">
        <w:t>authored</w:t>
      </w:r>
      <w:r w:rsidR="00BE7EAF">
        <w:t xml:space="preserve"> the brief with Ginsburg</w:t>
      </w:r>
      <w:r w:rsidR="00DF5CE8">
        <w:t>;</w:t>
      </w:r>
      <w:r w:rsidR="00BE7EAF">
        <w:t xml:space="preserve"> Allen </w:t>
      </w:r>
      <w:proofErr w:type="spellStart"/>
      <w:r w:rsidR="00BE7EAF">
        <w:t>Derr</w:t>
      </w:r>
      <w:proofErr w:type="spellEnd"/>
      <w:r w:rsidR="00BE7EAF">
        <w:t>, the petitioner Sally Reed’s original counsel</w:t>
      </w:r>
      <w:r w:rsidR="00DF5CE8">
        <w:t>;</w:t>
      </w:r>
      <w:r w:rsidR="006B2046">
        <w:t xml:space="preserve"> Pauli Murray, who</w:t>
      </w:r>
      <w:r w:rsidR="00AB317E">
        <w:t>m</w:t>
      </w:r>
      <w:r w:rsidR="006B2046">
        <w:t xml:space="preserve"> we just read</w:t>
      </w:r>
      <w:r w:rsidR="00DF5CE8">
        <w:t>;</w:t>
      </w:r>
      <w:r w:rsidR="006B2046">
        <w:t xml:space="preserve"> and </w:t>
      </w:r>
      <w:r w:rsidR="006B2046" w:rsidRPr="009A1403">
        <w:t>Dorothy Kenyon</w:t>
      </w:r>
      <w:r w:rsidR="006B2046">
        <w:t>, another legendary women’s rights lawyer.</w:t>
      </w:r>
      <w:r w:rsidR="00F459DD">
        <w:t xml:space="preserve"> Ginsburg reported</w:t>
      </w:r>
      <w:r w:rsidR="0058204B">
        <w:t>ly</w:t>
      </w:r>
      <w:r w:rsidR="00F459DD">
        <w:t xml:space="preserve"> </w:t>
      </w:r>
      <w:r>
        <w:t>included</w:t>
      </w:r>
      <w:r w:rsidR="00F459DD">
        <w:t xml:space="preserve"> Murray’s </w:t>
      </w:r>
      <w:r w:rsidR="009A1403">
        <w:t>and</w:t>
      </w:r>
      <w:r w:rsidR="009A1403" w:rsidRPr="009A1403">
        <w:t xml:space="preserve"> Kenyon</w:t>
      </w:r>
      <w:r w:rsidR="009A1403">
        <w:t>’s names</w:t>
      </w:r>
      <w:r w:rsidR="00F459DD">
        <w:t xml:space="preserve"> as an </w:t>
      </w:r>
      <w:r w:rsidR="00DF5CE8">
        <w:t>acknowledgment</w:t>
      </w:r>
      <w:r w:rsidR="00F459DD">
        <w:t xml:space="preserve"> of </w:t>
      </w:r>
      <w:r w:rsidR="00A941DC">
        <w:t>her</w:t>
      </w:r>
      <w:r w:rsidR="009A1403">
        <w:t xml:space="preserve"> intellectual debt</w:t>
      </w:r>
      <w:r w:rsidR="00A941DC">
        <w:t xml:space="preserve">, even though they </w:t>
      </w:r>
      <w:r w:rsidR="00146C23">
        <w:t>didn’t</w:t>
      </w:r>
      <w:r w:rsidR="00A941DC">
        <w:t xml:space="preserve"> </w:t>
      </w:r>
      <w:proofErr w:type="gramStart"/>
      <w:r w:rsidR="00A941DC">
        <w:t>actually work</w:t>
      </w:r>
      <w:proofErr w:type="gramEnd"/>
      <w:r w:rsidR="00A941DC">
        <w:t xml:space="preserve"> on the case.</w:t>
      </w:r>
    </w:p>
    <w:p w14:paraId="735BBE1C" w14:textId="3EB614A0" w:rsidR="00010CDE" w:rsidRDefault="005A5A3F" w:rsidP="00F459DD">
      <w:pPr>
        <w:pStyle w:val="ListParagraph"/>
        <w:numPr>
          <w:ilvl w:val="0"/>
          <w:numId w:val="2"/>
        </w:numPr>
      </w:pPr>
      <w:r>
        <w:t xml:space="preserve">Start on </w:t>
      </w:r>
      <w:r w:rsidR="00010CDE">
        <w:t>Pp. 2–3 of the brief</w:t>
      </w:r>
      <w:r w:rsidR="00282A3B">
        <w:t xml:space="preserve"> (the actual page number</w:t>
      </w:r>
      <w:r w:rsidR="009A1403">
        <w:t xml:space="preserve"> shown on the page</w:t>
      </w:r>
      <w:r w:rsidR="00282A3B">
        <w:t>):</w:t>
      </w:r>
      <w:r w:rsidR="00010CDE">
        <w:t xml:space="preserve"> What do the Idaho statutes provide with respect to the selection of women as administrators of estates?</w:t>
      </w:r>
    </w:p>
    <w:p w14:paraId="4BD6BA3B" w14:textId="6A42132B" w:rsidR="00010CDE" w:rsidRDefault="00010CDE" w:rsidP="00F459DD">
      <w:pPr>
        <w:pStyle w:val="ListParagraph"/>
        <w:numPr>
          <w:ilvl w:val="0"/>
          <w:numId w:val="2"/>
        </w:numPr>
      </w:pPr>
      <w:r>
        <w:lastRenderedPageBreak/>
        <w:t>What is the question presented?</w:t>
      </w:r>
    </w:p>
    <w:p w14:paraId="08A8F876" w14:textId="03E638AF" w:rsidR="00010CDE" w:rsidRDefault="00010CDE" w:rsidP="00F459DD">
      <w:pPr>
        <w:pStyle w:val="ListParagraph"/>
        <w:numPr>
          <w:ilvl w:val="0"/>
          <w:numId w:val="2"/>
        </w:numPr>
      </w:pPr>
      <w:r>
        <w:t>What are the relevant facts of the case?</w:t>
      </w:r>
    </w:p>
    <w:p w14:paraId="2D3C4879" w14:textId="2A8AC719" w:rsidR="00010CDE" w:rsidRDefault="00A941DC" w:rsidP="00F459DD">
      <w:pPr>
        <w:pStyle w:val="ListParagraph"/>
        <w:numPr>
          <w:ilvl w:val="0"/>
          <w:numId w:val="2"/>
        </w:numPr>
      </w:pPr>
      <w:r>
        <w:t>Skim</w:t>
      </w:r>
      <w:r w:rsidR="00010CDE">
        <w:t xml:space="preserve"> the summar</w:t>
      </w:r>
      <w:r w:rsidR="005A5A3F">
        <w:t>y of the argument on pp. 5–7.</w:t>
      </w:r>
    </w:p>
    <w:p w14:paraId="788DC882" w14:textId="3D5BE255" w:rsidR="00010CDE" w:rsidRDefault="005A5A3F" w:rsidP="00F459DD">
      <w:pPr>
        <w:pStyle w:val="ListParagraph"/>
        <w:numPr>
          <w:ilvl w:val="0"/>
          <w:numId w:val="2"/>
        </w:numPr>
      </w:pPr>
      <w:r>
        <w:t>What</w:t>
      </w:r>
      <w:r w:rsidR="00287179">
        <w:t xml:space="preserve"> issue </w:t>
      </w:r>
      <w:r>
        <w:t>does the case raise</w:t>
      </w:r>
      <w:r w:rsidR="00287179">
        <w:t>?</w:t>
      </w:r>
    </w:p>
    <w:p w14:paraId="49847C3F" w14:textId="1AFB9121" w:rsidR="00A941DC" w:rsidRDefault="00287179" w:rsidP="00287179">
      <w:pPr>
        <w:pStyle w:val="ListParagraph"/>
        <w:numPr>
          <w:ilvl w:val="0"/>
          <w:numId w:val="2"/>
        </w:numPr>
      </w:pPr>
      <w:r w:rsidRPr="00DF5CE8">
        <w:t>What are the two standards of review the Court applies to determine whether a statute violates the Equal Protection Clause? When does each standard apply?</w:t>
      </w:r>
    </w:p>
    <w:p w14:paraId="76359ED6" w14:textId="433882E6" w:rsidR="00287179" w:rsidRPr="00287179" w:rsidRDefault="00287179" w:rsidP="00F459DD">
      <w:pPr>
        <w:pStyle w:val="ListParagraph"/>
        <w:numPr>
          <w:ilvl w:val="0"/>
          <w:numId w:val="2"/>
        </w:numPr>
        <w:rPr>
          <w:b/>
          <w:bCs/>
        </w:rPr>
      </w:pPr>
      <w:r w:rsidRPr="00287179">
        <w:rPr>
          <w:b/>
          <w:bCs/>
        </w:rPr>
        <w:t>What are the appellant’s principal and alternative positions? How are they different? Why does the difference matter?</w:t>
      </w:r>
    </w:p>
    <w:p w14:paraId="6A02901D" w14:textId="43937A6B" w:rsidR="00287179" w:rsidRDefault="00287179" w:rsidP="00287179"/>
    <w:p w14:paraId="744E1A28" w14:textId="77777777" w:rsidR="005A5A3F" w:rsidRDefault="005A5A3F" w:rsidP="00287179"/>
    <w:p w14:paraId="2167A391" w14:textId="77777777" w:rsidR="005A5A3F" w:rsidRDefault="005A5A3F" w:rsidP="00287179"/>
    <w:p w14:paraId="0BCC3E61" w14:textId="3581CB1B" w:rsidR="00A941DC" w:rsidRDefault="00A941DC" w:rsidP="00287179"/>
    <w:p w14:paraId="4F59A9AB" w14:textId="77777777" w:rsidR="00A941DC" w:rsidRDefault="00A941DC" w:rsidP="00287179"/>
    <w:p w14:paraId="2D8835B8" w14:textId="5D819E19" w:rsidR="00287179" w:rsidRDefault="00287179" w:rsidP="00287179"/>
    <w:p w14:paraId="509AFF25" w14:textId="7A9F68EE" w:rsidR="00287179" w:rsidRDefault="00287179" w:rsidP="00287179"/>
    <w:p w14:paraId="50896FD1" w14:textId="77777777" w:rsidR="00A941DC" w:rsidRDefault="00A941DC" w:rsidP="00287179"/>
    <w:p w14:paraId="36179EEC" w14:textId="52514C93" w:rsidR="00287179" w:rsidRDefault="002906E9" w:rsidP="00F459DD">
      <w:pPr>
        <w:pStyle w:val="ListParagraph"/>
        <w:numPr>
          <w:ilvl w:val="0"/>
          <w:numId w:val="2"/>
        </w:numPr>
      </w:pPr>
      <w:r>
        <w:t>Skim the next paragraph</w:t>
      </w:r>
      <w:r w:rsidR="009A1403">
        <w:t xml:space="preserve"> </w:t>
      </w:r>
      <w:r>
        <w:t>(</w:t>
      </w:r>
      <w:r w:rsidR="009A1403">
        <w:t>t</w:t>
      </w:r>
      <w:r>
        <w:t>hink about: what purpose does this paragraph serve?)</w:t>
      </w:r>
      <w:r w:rsidR="009A1403">
        <w:t>.</w:t>
      </w:r>
    </w:p>
    <w:p w14:paraId="7DEEC907" w14:textId="4DF27168" w:rsidR="002906E9" w:rsidRDefault="002906E9" w:rsidP="00F459DD">
      <w:pPr>
        <w:pStyle w:val="ListParagraph"/>
        <w:numPr>
          <w:ilvl w:val="0"/>
          <w:numId w:val="2"/>
        </w:numPr>
      </w:pPr>
      <w:r>
        <w:t>What remedies are available to women experiencing sex discrimination at the time? Why are these measures helpful but not adequate by themselves?</w:t>
      </w:r>
    </w:p>
    <w:p w14:paraId="7788EC5C" w14:textId="68F58D54" w:rsidR="002906E9" w:rsidRDefault="002906E9" w:rsidP="00F459DD">
      <w:pPr>
        <w:pStyle w:val="ListParagraph"/>
        <w:numPr>
          <w:ilvl w:val="0"/>
          <w:numId w:val="2"/>
        </w:numPr>
      </w:pPr>
      <w:r>
        <w:t>What does racial discrimination tell us about the need to recognize sex as a suspect classification?</w:t>
      </w:r>
    </w:p>
    <w:p w14:paraId="753B5416" w14:textId="096E2AAA" w:rsidR="002906E9" w:rsidRDefault="002906E9" w:rsidP="00F459DD">
      <w:pPr>
        <w:pStyle w:val="ListParagraph"/>
        <w:numPr>
          <w:ilvl w:val="0"/>
          <w:numId w:val="2"/>
        </w:numPr>
      </w:pPr>
      <w:r>
        <w:t xml:space="preserve">Note that Ginsburg </w:t>
      </w:r>
      <w:r w:rsidR="00860340">
        <w:t xml:space="preserve">and co-counsel </w:t>
      </w:r>
      <w:r w:rsidR="00A941DC">
        <w:t xml:space="preserve">explicitly </w:t>
      </w:r>
      <w:r>
        <w:t xml:space="preserve">compare </w:t>
      </w:r>
      <w:proofErr w:type="spellStart"/>
      <w:r w:rsidRPr="002906E9">
        <w:rPr>
          <w:i/>
          <w:iCs/>
        </w:rPr>
        <w:t>Goesaert</w:t>
      </w:r>
      <w:proofErr w:type="spellEnd"/>
      <w:r w:rsidRPr="002906E9">
        <w:t xml:space="preserve"> </w:t>
      </w:r>
      <w:r>
        <w:t xml:space="preserve">to </w:t>
      </w:r>
      <w:r w:rsidRPr="002906E9">
        <w:rPr>
          <w:i/>
          <w:iCs/>
        </w:rPr>
        <w:t>Plessy</w:t>
      </w:r>
      <w:r>
        <w:t>.</w:t>
      </w:r>
    </w:p>
    <w:p w14:paraId="3996E5B7" w14:textId="3F44A501" w:rsidR="002906E9" w:rsidRDefault="002906E9" w:rsidP="00F459DD">
      <w:pPr>
        <w:pStyle w:val="ListParagraph"/>
        <w:numPr>
          <w:ilvl w:val="0"/>
          <w:numId w:val="2"/>
        </w:numPr>
      </w:pPr>
      <w:r>
        <w:t xml:space="preserve">Skim </w:t>
      </w:r>
      <w:r w:rsidR="00A8179F">
        <w:t>the next paragraph.</w:t>
      </w:r>
    </w:p>
    <w:p w14:paraId="0BCF65EC" w14:textId="71F85E69" w:rsidR="002906E9" w:rsidRDefault="00A8179F" w:rsidP="00F459DD">
      <w:pPr>
        <w:pStyle w:val="ListParagraph"/>
        <w:numPr>
          <w:ilvl w:val="0"/>
          <w:numId w:val="2"/>
        </w:numPr>
      </w:pPr>
      <w:r>
        <w:t>How are race-based classifications scrutinized by courts?</w:t>
      </w:r>
    </w:p>
    <w:p w14:paraId="181A6C4C" w14:textId="76E3D183" w:rsidR="00A8179F" w:rsidRDefault="00A8179F" w:rsidP="00F459DD">
      <w:pPr>
        <w:pStyle w:val="ListParagraph"/>
        <w:numPr>
          <w:ilvl w:val="0"/>
          <w:numId w:val="2"/>
        </w:numPr>
      </w:pPr>
      <w:r>
        <w:t xml:space="preserve">What do Ginsburg </w:t>
      </w:r>
      <w:r w:rsidR="00860340">
        <w:t>and counsel</w:t>
      </w:r>
      <w:r>
        <w:t xml:space="preserve"> think </w:t>
      </w:r>
      <w:proofErr w:type="gramStart"/>
      <w:r w:rsidR="009A1403">
        <w:t>underlies</w:t>
      </w:r>
      <w:proofErr w:type="gramEnd"/>
      <w:r>
        <w:t xml:space="preserve"> the strict scrutiny/suspect classification doctrine?</w:t>
      </w:r>
    </w:p>
    <w:p w14:paraId="449A9C21" w14:textId="1CE98774" w:rsidR="00A8179F" w:rsidRDefault="00A8179F" w:rsidP="00F459DD">
      <w:pPr>
        <w:pStyle w:val="ListParagraph"/>
        <w:numPr>
          <w:ilvl w:val="0"/>
          <w:numId w:val="2"/>
        </w:numPr>
      </w:pPr>
      <w:r>
        <w:t>Skim the first block quote.</w:t>
      </w:r>
    </w:p>
    <w:p w14:paraId="77554ADA" w14:textId="0B122A16" w:rsidR="00A8179F" w:rsidRDefault="00A8179F" w:rsidP="00F459DD">
      <w:pPr>
        <w:pStyle w:val="ListParagraph"/>
        <w:numPr>
          <w:ilvl w:val="0"/>
          <w:numId w:val="2"/>
        </w:numPr>
      </w:pPr>
      <w:r>
        <w:t>Focus on the Murray quote: How are racial and sex inequalit</w:t>
      </w:r>
      <w:r w:rsidR="00860340">
        <w:t>ies</w:t>
      </w:r>
      <w:r>
        <w:t xml:space="preserve"> connected?</w:t>
      </w:r>
    </w:p>
    <w:p w14:paraId="1FF267D2" w14:textId="6D0BA8AA" w:rsidR="00A8179F" w:rsidRDefault="00A8179F" w:rsidP="00F459DD">
      <w:pPr>
        <w:pStyle w:val="ListParagraph"/>
        <w:numPr>
          <w:ilvl w:val="0"/>
          <w:numId w:val="2"/>
        </w:numPr>
      </w:pPr>
      <w:r>
        <w:t>The quote from the California Supreme Court decision: Which three features characterize suspect classifications?</w:t>
      </w:r>
    </w:p>
    <w:p w14:paraId="42C8E04D" w14:textId="3E76AFC2" w:rsidR="00A8179F" w:rsidRDefault="00A8179F" w:rsidP="00F459DD">
      <w:pPr>
        <w:pStyle w:val="ListParagraph"/>
        <w:numPr>
          <w:ilvl w:val="0"/>
          <w:numId w:val="2"/>
        </w:numPr>
      </w:pPr>
      <w:r>
        <w:t xml:space="preserve">Skip the rest of </w:t>
      </w:r>
      <w:r w:rsidR="00304CB7">
        <w:t>S</w:t>
      </w:r>
      <w:r>
        <w:t>ubsection A.</w:t>
      </w:r>
    </w:p>
    <w:p w14:paraId="03D85BEB" w14:textId="6D045D7B" w:rsidR="00304CB7" w:rsidRDefault="002B401D" w:rsidP="00F459DD">
      <w:pPr>
        <w:pStyle w:val="ListParagraph"/>
        <w:numPr>
          <w:ilvl w:val="0"/>
          <w:numId w:val="2"/>
        </w:numPr>
      </w:pPr>
      <w:r w:rsidRPr="002B401D">
        <w:rPr>
          <w:i/>
          <w:iCs/>
        </w:rPr>
        <w:t>Very cursorily</w:t>
      </w:r>
      <w:r>
        <w:t xml:space="preserve"> skim</w:t>
      </w:r>
      <w:r w:rsidR="00304CB7">
        <w:t xml:space="preserve"> (and I</w:t>
      </w:r>
      <w:r>
        <w:t xml:space="preserve"> do</w:t>
      </w:r>
      <w:r w:rsidR="00304CB7">
        <w:t xml:space="preserve"> </w:t>
      </w:r>
      <w:r w:rsidR="00304CB7" w:rsidRPr="002B401D">
        <w:t>mean</w:t>
      </w:r>
      <w:r w:rsidR="00304CB7">
        <w:t xml:space="preserve"> </w:t>
      </w:r>
      <w:r>
        <w:t>it</w:t>
      </w:r>
      <w:r w:rsidR="00304CB7">
        <w:t>—it’s long</w:t>
      </w:r>
      <w:r>
        <w:t>!</w:t>
      </w:r>
      <w:r w:rsidR="00304CB7">
        <w:t xml:space="preserve">) </w:t>
      </w:r>
      <w:r w:rsidR="00304CB7" w:rsidRPr="00304CB7">
        <w:t>Subsection</w:t>
      </w:r>
      <w:r w:rsidR="00304CB7">
        <w:t xml:space="preserve"> B. Why do Ginsburg </w:t>
      </w:r>
      <w:r w:rsidR="00860340">
        <w:t xml:space="preserve">and co-counsel </w:t>
      </w:r>
      <w:r w:rsidR="00304CB7">
        <w:t>find it necessary to spend so much space</w:t>
      </w:r>
      <w:r>
        <w:t xml:space="preserve"> meticulously</w:t>
      </w:r>
      <w:r w:rsidR="00304CB7">
        <w:t xml:space="preserve"> explaining to </w:t>
      </w:r>
      <w:r w:rsidR="00304CB7">
        <w:lastRenderedPageBreak/>
        <w:t>the justices how women are viewed and treated, and how that differs from how women see themselves?</w:t>
      </w:r>
    </w:p>
    <w:p w14:paraId="4A423DA3" w14:textId="54C33897" w:rsidR="006766D8" w:rsidRDefault="00B72996" w:rsidP="00B72996">
      <w:pPr>
        <w:pStyle w:val="ListParagraph"/>
        <w:numPr>
          <w:ilvl w:val="0"/>
          <w:numId w:val="2"/>
        </w:numPr>
      </w:pPr>
      <w:r>
        <w:t>Read the first paragraph of Subsection C (p. 41)</w:t>
      </w:r>
      <w:r w:rsidR="002C7E5D">
        <w:t xml:space="preserve">, and skim or skip the rest of </w:t>
      </w:r>
      <w:r w:rsidR="00EE171F">
        <w:t>this</w:t>
      </w:r>
      <w:r w:rsidR="002C7E5D">
        <w:t xml:space="preserve"> Subsection. </w:t>
      </w:r>
      <w:r>
        <w:t xml:space="preserve">Here, Ginsburg </w:t>
      </w:r>
      <w:r w:rsidR="00860340">
        <w:t>and co-counsel</w:t>
      </w:r>
      <w:r>
        <w:t xml:space="preserve"> argue that </w:t>
      </w:r>
      <w:r>
        <w:rPr>
          <w:i/>
          <w:iCs/>
        </w:rPr>
        <w:t>Muller</w:t>
      </w:r>
      <w:r>
        <w:t xml:space="preserve">, </w:t>
      </w:r>
      <w:proofErr w:type="spellStart"/>
      <w:r w:rsidRPr="002906E9">
        <w:rPr>
          <w:i/>
          <w:iCs/>
        </w:rPr>
        <w:t>Goesaert</w:t>
      </w:r>
      <w:proofErr w:type="spellEnd"/>
      <w:r w:rsidR="00860340">
        <w:rPr>
          <w:i/>
          <w:iCs/>
        </w:rPr>
        <w:t>,</w:t>
      </w:r>
      <w:r w:rsidRPr="002906E9">
        <w:t xml:space="preserve"> </w:t>
      </w:r>
      <w:r>
        <w:t xml:space="preserve">and </w:t>
      </w:r>
      <w:r>
        <w:rPr>
          <w:i/>
          <w:iCs/>
        </w:rPr>
        <w:t>Hoyt</w:t>
      </w:r>
      <w:r>
        <w:t xml:space="preserve"> are a trilogy of embarrassment</w:t>
      </w:r>
      <w:r w:rsidR="003A3822">
        <w:t xml:space="preserve"> to the Court.</w:t>
      </w:r>
    </w:p>
    <w:p w14:paraId="61E14AE9" w14:textId="3013905B" w:rsidR="002C7E5D" w:rsidRDefault="002C7E5D" w:rsidP="00F459DD">
      <w:pPr>
        <w:pStyle w:val="ListParagraph"/>
        <w:numPr>
          <w:ilvl w:val="0"/>
          <w:numId w:val="2"/>
        </w:numPr>
      </w:pPr>
      <w:r>
        <w:t xml:space="preserve">Skim Subsection D, where Ginsburg </w:t>
      </w:r>
      <w:r w:rsidR="00860340">
        <w:t xml:space="preserve">and co-counsel </w:t>
      </w:r>
      <w:r>
        <w:t>argue the Idaho statute serves no compelling interest.</w:t>
      </w:r>
    </w:p>
    <w:p w14:paraId="36B65D0B" w14:textId="00DCFC82" w:rsidR="00A8179F" w:rsidRPr="00F459DD" w:rsidRDefault="00D42B8D" w:rsidP="00F459DD">
      <w:pPr>
        <w:pStyle w:val="ListParagraph"/>
        <w:numPr>
          <w:ilvl w:val="0"/>
          <w:numId w:val="2"/>
        </w:numPr>
      </w:pPr>
      <w:r>
        <w:t xml:space="preserve">Skim </w:t>
      </w:r>
      <w:r w:rsidR="002C7E5D">
        <w:t>Section II</w:t>
      </w:r>
      <w:r w:rsidR="009A1403">
        <w:t>.</w:t>
      </w:r>
      <w:r>
        <w:t xml:space="preserve"> </w:t>
      </w:r>
      <w:r w:rsidR="00282A3B">
        <w:t xml:space="preserve">Which two additional arguments do Ginsburg </w:t>
      </w:r>
      <w:r w:rsidR="00860340">
        <w:t xml:space="preserve">and co-counsel </w:t>
      </w:r>
      <w:r w:rsidR="00282A3B">
        <w:t>offer for striking down the Idaho statute?</w:t>
      </w:r>
    </w:p>
    <w:p w14:paraId="70D493C9" w14:textId="08D59135" w:rsidR="0067105D" w:rsidRDefault="0067105D" w:rsidP="0067105D">
      <w:pPr>
        <w:pStyle w:val="Heading2"/>
      </w:pPr>
      <w:r>
        <w:t>Opinion of the Court</w:t>
      </w:r>
    </w:p>
    <w:p w14:paraId="275A3015" w14:textId="3CE28A54" w:rsidR="0067105D" w:rsidRDefault="0067105D" w:rsidP="0067105D">
      <w:pPr>
        <w:pStyle w:val="ListParagraph"/>
        <w:numPr>
          <w:ilvl w:val="0"/>
          <w:numId w:val="2"/>
        </w:numPr>
      </w:pPr>
      <w:r>
        <w:t>Skim the facts of the case.</w:t>
      </w:r>
    </w:p>
    <w:p w14:paraId="49F353D2" w14:textId="1AE2C02F" w:rsidR="0067105D" w:rsidRPr="0067105D" w:rsidRDefault="0067105D" w:rsidP="00EE4CE1">
      <w:pPr>
        <w:pStyle w:val="ListParagraph"/>
        <w:numPr>
          <w:ilvl w:val="0"/>
          <w:numId w:val="2"/>
        </w:numPr>
        <w:rPr>
          <w:b/>
          <w:bCs/>
        </w:rPr>
      </w:pPr>
      <w:r w:rsidRPr="0067105D">
        <w:rPr>
          <w:b/>
          <w:bCs/>
        </w:rPr>
        <w:t>Bottom of p. 307 onto top of p. 308: What does the Court think the Equal Protection clause</w:t>
      </w:r>
      <w:r w:rsidR="00860340">
        <w:rPr>
          <w:b/>
          <w:bCs/>
        </w:rPr>
        <w:t xml:space="preserve"> does and does not</w:t>
      </w:r>
      <w:r w:rsidRPr="0067105D">
        <w:rPr>
          <w:b/>
          <w:bCs/>
        </w:rPr>
        <w:t xml:space="preserve"> prohibit?</w:t>
      </w:r>
    </w:p>
    <w:p w14:paraId="56FA179A" w14:textId="64C2B307" w:rsidR="0067105D" w:rsidRDefault="0067105D" w:rsidP="0067105D"/>
    <w:p w14:paraId="1C5AF746" w14:textId="68CD0933" w:rsidR="0067105D" w:rsidRDefault="0067105D" w:rsidP="0067105D"/>
    <w:p w14:paraId="23EA41B8" w14:textId="77777777" w:rsidR="00860340" w:rsidRDefault="00860340" w:rsidP="0067105D"/>
    <w:p w14:paraId="04DB0586" w14:textId="77777777" w:rsidR="00860340" w:rsidRDefault="00860340" w:rsidP="0067105D"/>
    <w:p w14:paraId="0C4FCD5E" w14:textId="77777777" w:rsidR="00860340" w:rsidRDefault="00860340" w:rsidP="0067105D"/>
    <w:p w14:paraId="1A0F3F9C" w14:textId="77777777" w:rsidR="00860340" w:rsidRDefault="00860340" w:rsidP="0067105D"/>
    <w:p w14:paraId="1CE6E264" w14:textId="4F4027A3" w:rsidR="0067105D" w:rsidRDefault="0067105D" w:rsidP="0067105D"/>
    <w:p w14:paraId="43595588" w14:textId="77777777" w:rsidR="00452255" w:rsidRDefault="00452255" w:rsidP="0067105D"/>
    <w:p w14:paraId="2E4C0870" w14:textId="476409D8" w:rsidR="0067105D" w:rsidRPr="0067105D" w:rsidRDefault="0067105D" w:rsidP="0067105D">
      <w:pPr>
        <w:pStyle w:val="ListParagraph"/>
        <w:numPr>
          <w:ilvl w:val="0"/>
          <w:numId w:val="2"/>
        </w:numPr>
        <w:rPr>
          <w:b/>
          <w:bCs/>
        </w:rPr>
      </w:pPr>
      <w:r w:rsidRPr="0067105D">
        <w:rPr>
          <w:b/>
          <w:bCs/>
        </w:rPr>
        <w:t>What is the legal question presented?</w:t>
      </w:r>
      <w:r>
        <w:rPr>
          <w:b/>
          <w:bCs/>
        </w:rPr>
        <w:t xml:space="preserve"> Which of the appellant’s two positions is the Court adopting here?</w:t>
      </w:r>
    </w:p>
    <w:p w14:paraId="52A0F35E" w14:textId="3A82F5F0" w:rsidR="0067105D" w:rsidRDefault="0067105D" w:rsidP="0067105D"/>
    <w:p w14:paraId="0DBA9AC9" w14:textId="77777777" w:rsidR="00860340" w:rsidRDefault="00860340" w:rsidP="0067105D"/>
    <w:p w14:paraId="4803374E" w14:textId="77777777" w:rsidR="00860340" w:rsidRDefault="00860340" w:rsidP="0067105D"/>
    <w:p w14:paraId="101A134E" w14:textId="77777777" w:rsidR="00860340" w:rsidRDefault="00860340" w:rsidP="0067105D"/>
    <w:p w14:paraId="73C29C4C" w14:textId="77777777" w:rsidR="00860340" w:rsidRDefault="00860340" w:rsidP="0067105D"/>
    <w:p w14:paraId="4D21CC68" w14:textId="24AB91EB" w:rsidR="0067105D" w:rsidRDefault="0067105D" w:rsidP="0067105D"/>
    <w:p w14:paraId="65099991" w14:textId="2EE019AC" w:rsidR="0067105D" w:rsidRDefault="0067105D" w:rsidP="0067105D"/>
    <w:p w14:paraId="6645B805" w14:textId="77777777" w:rsidR="00A941DC" w:rsidRDefault="00A941DC" w:rsidP="0067105D"/>
    <w:p w14:paraId="56C8AFB4" w14:textId="7BCCC088" w:rsidR="0067105D" w:rsidRPr="0067105D" w:rsidRDefault="0067105D" w:rsidP="0067105D">
      <w:pPr>
        <w:pStyle w:val="ListParagraph"/>
        <w:numPr>
          <w:ilvl w:val="0"/>
          <w:numId w:val="2"/>
        </w:numPr>
      </w:pPr>
      <w:r>
        <w:t>What is the Court’s answer?</w:t>
      </w:r>
    </w:p>
    <w:p w14:paraId="458321E2" w14:textId="2477218E" w:rsidR="0098782B" w:rsidRPr="0098782B" w:rsidRDefault="0098782B" w:rsidP="0098782B">
      <w:pPr>
        <w:pStyle w:val="Heading1"/>
      </w:pPr>
      <w:proofErr w:type="spellStart"/>
      <w:r w:rsidRPr="0098782B">
        <w:rPr>
          <w:i/>
          <w:iCs/>
        </w:rPr>
        <w:t>Frontiero</w:t>
      </w:r>
      <w:proofErr w:type="spellEnd"/>
      <w:r w:rsidRPr="0098782B">
        <w:rPr>
          <w:i/>
          <w:iCs/>
        </w:rPr>
        <w:t xml:space="preserve"> v. Richardson</w:t>
      </w:r>
      <w:r w:rsidR="00982DC1">
        <w:rPr>
          <w:i/>
          <w:iCs/>
        </w:rPr>
        <w:t xml:space="preserve"> </w:t>
      </w:r>
      <w:r w:rsidR="00982DC1">
        <w:t>(1973)</w:t>
      </w:r>
    </w:p>
    <w:p w14:paraId="217C5348" w14:textId="3364D993" w:rsidR="00860340" w:rsidRDefault="00860340" w:rsidP="00B3755B">
      <w:pPr>
        <w:pStyle w:val="ListParagraph"/>
        <w:numPr>
          <w:ilvl w:val="0"/>
          <w:numId w:val="2"/>
        </w:numPr>
      </w:pPr>
      <w:r>
        <w:t xml:space="preserve">What is the significance of </w:t>
      </w:r>
      <w:proofErr w:type="spellStart"/>
      <w:r w:rsidRPr="00893DFC">
        <w:rPr>
          <w:i/>
          <w:iCs/>
        </w:rPr>
        <w:t>Frontiero</w:t>
      </w:r>
      <w:proofErr w:type="spellEnd"/>
      <w:r>
        <w:t>?</w:t>
      </w:r>
    </w:p>
    <w:p w14:paraId="01BCDBC7" w14:textId="71095294" w:rsidR="002A6DDB" w:rsidRDefault="00893DFC" w:rsidP="00B3755B">
      <w:pPr>
        <w:pStyle w:val="ListParagraph"/>
        <w:numPr>
          <w:ilvl w:val="0"/>
          <w:numId w:val="2"/>
        </w:numPr>
      </w:pPr>
      <w:r w:rsidRPr="00893DFC">
        <w:t xml:space="preserve">On what grounds </w:t>
      </w:r>
      <w:r w:rsidR="002A6DDB" w:rsidRPr="00893DFC">
        <w:t xml:space="preserve">would the </w:t>
      </w:r>
      <w:proofErr w:type="spellStart"/>
      <w:r w:rsidR="002A6DDB" w:rsidRPr="00893DFC">
        <w:rPr>
          <w:i/>
          <w:iCs/>
        </w:rPr>
        <w:t>Frontiero</w:t>
      </w:r>
      <w:proofErr w:type="spellEnd"/>
      <w:r w:rsidR="002A6DDB" w:rsidRPr="00893DFC">
        <w:t xml:space="preserve"> plurality apply </w:t>
      </w:r>
      <w:r w:rsidR="00860340">
        <w:t xml:space="preserve">strict scrutiny </w:t>
      </w:r>
      <w:r w:rsidR="002A6DDB" w:rsidRPr="00893DFC">
        <w:t>to sex-based classifications</w:t>
      </w:r>
      <w:r w:rsidRPr="00893DFC">
        <w:t>?</w:t>
      </w:r>
    </w:p>
    <w:p w14:paraId="5F7CA9FA" w14:textId="05F108D3" w:rsidR="003C14C1" w:rsidRDefault="003C14C1" w:rsidP="003C14C1">
      <w:pPr>
        <w:pStyle w:val="Heading1"/>
      </w:pPr>
      <w:proofErr w:type="spellStart"/>
      <w:r w:rsidRPr="003C14C1">
        <w:rPr>
          <w:i/>
          <w:iCs/>
        </w:rPr>
        <w:lastRenderedPageBreak/>
        <w:t>Geduldig</w:t>
      </w:r>
      <w:proofErr w:type="spellEnd"/>
      <w:r w:rsidRPr="003C14C1">
        <w:rPr>
          <w:i/>
          <w:iCs/>
        </w:rPr>
        <w:t xml:space="preserve"> v. Aiello</w:t>
      </w:r>
      <w:r w:rsidRPr="003C14C1">
        <w:t xml:space="preserve"> (1974)</w:t>
      </w:r>
    </w:p>
    <w:p w14:paraId="247CB5E8" w14:textId="6E338545" w:rsidR="00F272CC" w:rsidRDefault="002F1582" w:rsidP="009F5EB9">
      <w:pPr>
        <w:pStyle w:val="ListParagraph"/>
        <w:numPr>
          <w:ilvl w:val="0"/>
          <w:numId w:val="2"/>
        </w:numPr>
      </w:pPr>
      <w:r>
        <w:t>Although w</w:t>
      </w:r>
      <w:r w:rsidR="003C14C1">
        <w:t xml:space="preserve">e will </w:t>
      </w:r>
      <w:r w:rsidR="009F5EB9">
        <w:t>not</w:t>
      </w:r>
      <w:r>
        <w:t xml:space="preserve"> discuss</w:t>
      </w:r>
      <w:r w:rsidR="009F5EB9">
        <w:t xml:space="preserve"> </w:t>
      </w:r>
      <w:proofErr w:type="spellStart"/>
      <w:r w:rsidR="009F5EB9" w:rsidRPr="003C14C1">
        <w:rPr>
          <w:i/>
          <w:iCs/>
        </w:rPr>
        <w:t>Geduldig</w:t>
      </w:r>
      <w:proofErr w:type="spellEnd"/>
      <w:r w:rsidR="009F5EB9">
        <w:t xml:space="preserve"> much in this module, we </w:t>
      </w:r>
      <w:r>
        <w:t>are going to</w:t>
      </w:r>
      <w:r w:rsidR="009F5EB9">
        <w:t xml:space="preserve"> </w:t>
      </w:r>
      <w:r w:rsidR="003C14C1">
        <w:t xml:space="preserve">come back </w:t>
      </w:r>
      <w:r w:rsidR="009F5EB9">
        <w:t>to it</w:t>
      </w:r>
      <w:r w:rsidR="003C14C1">
        <w:t xml:space="preserve"> </w:t>
      </w:r>
      <w:proofErr w:type="gramStart"/>
      <w:r w:rsidR="003C14C1">
        <w:t>over and over again</w:t>
      </w:r>
      <w:proofErr w:type="gramEnd"/>
      <w:r w:rsidR="003C14C1">
        <w:t xml:space="preserve"> for the rest of the class.</w:t>
      </w:r>
    </w:p>
    <w:p w14:paraId="50F46DB7" w14:textId="38A5A125" w:rsidR="003C14C1" w:rsidRDefault="00F272CC" w:rsidP="009F5EB9">
      <w:pPr>
        <w:pStyle w:val="ListParagraph"/>
        <w:numPr>
          <w:ilvl w:val="0"/>
          <w:numId w:val="2"/>
        </w:numPr>
      </w:pPr>
      <w:r>
        <w:t xml:space="preserve">What is </w:t>
      </w:r>
      <w:r w:rsidR="007E6B84">
        <w:t>this</w:t>
      </w:r>
      <w:r>
        <w:t xml:space="preserve"> case about?</w:t>
      </w:r>
    </w:p>
    <w:p w14:paraId="0295512C" w14:textId="41BDE3B6" w:rsidR="00F272CC" w:rsidRDefault="00DF5CE8" w:rsidP="009F5EB9">
      <w:pPr>
        <w:pStyle w:val="ListParagraph"/>
        <w:numPr>
          <w:ilvl w:val="0"/>
          <w:numId w:val="2"/>
        </w:numPr>
      </w:pPr>
      <w:r>
        <w:t>Which</w:t>
      </w:r>
      <w:r w:rsidR="00F272CC">
        <w:t xml:space="preserve"> level of scrutiny </w:t>
      </w:r>
      <w:r w:rsidR="00417CB2">
        <w:t>does</w:t>
      </w:r>
      <w:r w:rsidR="00F272CC">
        <w:t xml:space="preserve"> the Court </w:t>
      </w:r>
      <w:r>
        <w:t xml:space="preserve">decide is appropriate for </w:t>
      </w:r>
      <w:r w:rsidR="00F272CC">
        <w:t xml:space="preserve">the pregnancy-based classification </w:t>
      </w:r>
      <w:r w:rsidR="00417CB2">
        <w:t>at issue</w:t>
      </w:r>
      <w:r w:rsidR="00F272CC">
        <w:t>?</w:t>
      </w:r>
    </w:p>
    <w:p w14:paraId="62E8F76D" w14:textId="1CB7A961" w:rsidR="00F272CC" w:rsidRPr="00F272CC" w:rsidRDefault="00F272CC" w:rsidP="009F5EB9">
      <w:pPr>
        <w:pStyle w:val="ListParagraph"/>
        <w:numPr>
          <w:ilvl w:val="0"/>
          <w:numId w:val="2"/>
        </w:numPr>
        <w:rPr>
          <w:b/>
          <w:bCs/>
        </w:rPr>
      </w:pPr>
      <w:r w:rsidRPr="00F272CC">
        <w:rPr>
          <w:b/>
          <w:bCs/>
        </w:rPr>
        <w:t xml:space="preserve">Focus on footnote 20 of the majority opinion (the notes are at the bottom of the page): Why, according to the Court, does discrimination </w:t>
      </w:r>
      <w:proofErr w:type="gramStart"/>
      <w:r w:rsidRPr="00F272CC">
        <w:rPr>
          <w:b/>
          <w:bCs/>
        </w:rPr>
        <w:t>on the basis of</w:t>
      </w:r>
      <w:proofErr w:type="gramEnd"/>
      <w:r w:rsidRPr="00F272CC">
        <w:rPr>
          <w:b/>
          <w:bCs/>
        </w:rPr>
        <w:t xml:space="preserve"> pregnancy not inherently constitute discrimination on the basis of sex?</w:t>
      </w:r>
    </w:p>
    <w:p w14:paraId="38A4F4B5" w14:textId="77777777" w:rsidR="009047CC" w:rsidRDefault="009047CC" w:rsidP="009047CC"/>
    <w:p w14:paraId="11CBAC74" w14:textId="77777777" w:rsidR="009047CC" w:rsidRDefault="009047CC" w:rsidP="009047CC"/>
    <w:p w14:paraId="194F5277" w14:textId="77777777" w:rsidR="009047CC" w:rsidRDefault="009047CC" w:rsidP="009047CC"/>
    <w:p w14:paraId="1E628BD6" w14:textId="77777777" w:rsidR="009047CC" w:rsidRDefault="009047CC" w:rsidP="009047CC"/>
    <w:p w14:paraId="73358BC0" w14:textId="77777777" w:rsidR="009047CC" w:rsidRDefault="009047CC" w:rsidP="009047CC"/>
    <w:p w14:paraId="5D6AA037" w14:textId="77777777" w:rsidR="009047CC" w:rsidRDefault="009047CC" w:rsidP="009047CC"/>
    <w:p w14:paraId="0602CEDA" w14:textId="77777777" w:rsidR="009047CC" w:rsidRDefault="009047CC" w:rsidP="009047CC"/>
    <w:p w14:paraId="3969811A" w14:textId="2C50F3C7" w:rsidR="00F272CC" w:rsidRPr="003C14C1" w:rsidRDefault="00F272CC" w:rsidP="009F5EB9">
      <w:pPr>
        <w:pStyle w:val="ListParagraph"/>
        <w:numPr>
          <w:ilvl w:val="0"/>
          <w:numId w:val="2"/>
        </w:numPr>
      </w:pPr>
      <w:r>
        <w:t>Skip the dissent.</w:t>
      </w:r>
    </w:p>
    <w:p w14:paraId="36E56018" w14:textId="48C429DF" w:rsidR="001C0247" w:rsidRPr="002A6DDB" w:rsidRDefault="001C0247" w:rsidP="001C0247">
      <w:pPr>
        <w:pStyle w:val="Heading1"/>
      </w:pPr>
      <w:r w:rsidRPr="0098782B">
        <w:rPr>
          <w:i/>
          <w:iCs/>
        </w:rPr>
        <w:t>Craig v. Boren</w:t>
      </w:r>
      <w:r>
        <w:t xml:space="preserve"> (1976)</w:t>
      </w:r>
    </w:p>
    <w:p w14:paraId="5A66FCC9" w14:textId="552CC7B8" w:rsidR="00783187" w:rsidRDefault="002A6DDB" w:rsidP="00B3755B">
      <w:pPr>
        <w:pStyle w:val="ListParagraph"/>
        <w:numPr>
          <w:ilvl w:val="0"/>
          <w:numId w:val="2"/>
        </w:numPr>
      </w:pPr>
      <w:r w:rsidRPr="002A6DDB">
        <w:t>What does the Oklahoma statute</w:t>
      </w:r>
      <w:r>
        <w:t xml:space="preserve"> </w:t>
      </w:r>
      <w:r w:rsidRPr="002A6DDB">
        <w:t>prohibit?</w:t>
      </w:r>
    </w:p>
    <w:p w14:paraId="7CD3FB41" w14:textId="2A535816" w:rsidR="002A6DDB" w:rsidRPr="00783187" w:rsidRDefault="002A6DDB" w:rsidP="00B3755B">
      <w:pPr>
        <w:pStyle w:val="ListParagraph"/>
        <w:numPr>
          <w:ilvl w:val="0"/>
          <w:numId w:val="2"/>
        </w:numPr>
        <w:rPr>
          <w:b/>
          <w:bCs/>
        </w:rPr>
      </w:pPr>
      <w:r w:rsidRPr="00783187">
        <w:rPr>
          <w:b/>
          <w:bCs/>
        </w:rPr>
        <w:t>Who are discriminated against by this statute?</w:t>
      </w:r>
    </w:p>
    <w:p w14:paraId="656FD054" w14:textId="77777777" w:rsidR="00783187" w:rsidRDefault="00783187" w:rsidP="00783187"/>
    <w:p w14:paraId="5B74FFE5" w14:textId="77777777" w:rsidR="00783187" w:rsidRDefault="00783187" w:rsidP="00783187"/>
    <w:p w14:paraId="6B785D2A" w14:textId="77777777" w:rsidR="00783187" w:rsidRDefault="00783187" w:rsidP="00783187"/>
    <w:p w14:paraId="6A763DC6" w14:textId="77777777" w:rsidR="00783187" w:rsidRDefault="00783187" w:rsidP="00783187"/>
    <w:p w14:paraId="1C026BB7" w14:textId="404A9CA7" w:rsidR="002A6DDB" w:rsidRDefault="00893DFC" w:rsidP="00B3755B">
      <w:pPr>
        <w:pStyle w:val="ListParagraph"/>
        <w:numPr>
          <w:ilvl w:val="0"/>
          <w:numId w:val="2"/>
        </w:numPr>
      </w:pPr>
      <w:r w:rsidRPr="00893DFC">
        <w:t>The</w:t>
      </w:r>
      <w:r w:rsidR="002A6DDB" w:rsidRPr="00893DFC">
        <w:t xml:space="preserve"> </w:t>
      </w:r>
      <w:r w:rsidR="002A6DDB" w:rsidRPr="00893DFC">
        <w:rPr>
          <w:i/>
          <w:iCs/>
        </w:rPr>
        <w:t>Craig</w:t>
      </w:r>
      <w:r w:rsidR="002A6DDB" w:rsidRPr="00893DFC">
        <w:t xml:space="preserve"> majority </w:t>
      </w:r>
      <w:r w:rsidRPr="00893DFC">
        <w:t>then invents an</w:t>
      </w:r>
      <w:r w:rsidR="00E46FE9">
        <w:t>d</w:t>
      </w:r>
      <w:r w:rsidRPr="00893DFC">
        <w:t xml:space="preserve"> applies intermediate scrutiny. I</w:t>
      </w:r>
      <w:r>
        <w:t>nterestingly, i</w:t>
      </w:r>
      <w:r w:rsidRPr="00893DFC">
        <w:t xml:space="preserve">t </w:t>
      </w:r>
      <w:r w:rsidR="002A6DDB" w:rsidRPr="00893DFC">
        <w:t>says</w:t>
      </w:r>
      <w:r w:rsidR="002A6DDB">
        <w:t xml:space="preserve"> </w:t>
      </w:r>
      <w:r>
        <w:t xml:space="preserve">the cases following </w:t>
      </w:r>
      <w:r>
        <w:rPr>
          <w:i/>
          <w:iCs/>
        </w:rPr>
        <w:t>Reed</w:t>
      </w:r>
      <w:r>
        <w:t xml:space="preserve"> ha</w:t>
      </w:r>
      <w:r w:rsidR="004008F2">
        <w:t>ve</w:t>
      </w:r>
      <w:r>
        <w:t xml:space="preserve"> “establish[ed]” and perhaps even applied</w:t>
      </w:r>
      <w:r w:rsidR="002A6DDB">
        <w:t xml:space="preserve"> this level of scrutiny</w:t>
      </w:r>
      <w:r>
        <w:t xml:space="preserve"> already.</w:t>
      </w:r>
    </w:p>
    <w:p w14:paraId="0EC19FCB" w14:textId="17117701" w:rsidR="002A6DDB" w:rsidRDefault="00893DFC" w:rsidP="00B3755B">
      <w:pPr>
        <w:pStyle w:val="ListParagraph"/>
        <w:numPr>
          <w:ilvl w:val="0"/>
          <w:numId w:val="2"/>
        </w:numPr>
      </w:pPr>
      <w:r>
        <w:t xml:space="preserve">Why </w:t>
      </w:r>
      <w:r w:rsidR="00452255">
        <w:t>can’t</w:t>
      </w:r>
      <w:r>
        <w:t xml:space="preserve"> the Oklahoma statute survive intermediate scrutiny?</w:t>
      </w:r>
    </w:p>
    <w:p w14:paraId="1802FD74" w14:textId="37F3816D" w:rsidR="00893DFC" w:rsidRDefault="00893DFC" w:rsidP="00B3755B">
      <w:pPr>
        <w:pStyle w:val="ListParagraph"/>
        <w:numPr>
          <w:ilvl w:val="0"/>
          <w:numId w:val="2"/>
        </w:numPr>
      </w:pPr>
      <w:r>
        <w:t xml:space="preserve">Justice Powell would </w:t>
      </w:r>
      <w:r w:rsidR="00F4180D">
        <w:t xml:space="preserve">strike down the Oklahoma statute under </w:t>
      </w:r>
      <w:r>
        <w:t xml:space="preserve">the garden-variety rational basis review, not the </w:t>
      </w:r>
      <w:r w:rsidR="00F4180D">
        <w:t xml:space="preserve">new mid-tier scrutiny the </w:t>
      </w:r>
      <w:r w:rsidR="00F4180D" w:rsidRPr="00893DFC">
        <w:rPr>
          <w:i/>
          <w:iCs/>
        </w:rPr>
        <w:t>Craig</w:t>
      </w:r>
      <w:r w:rsidR="00F4180D" w:rsidRPr="00893DFC">
        <w:t xml:space="preserve"> majority</w:t>
      </w:r>
      <w:r w:rsidR="00F4180D">
        <w:t xml:space="preserve"> applies (although Powell also resists the characterization that the Court is inventing a new mid-tier scrutiny</w:t>
      </w:r>
      <w:r w:rsidR="003940D0">
        <w:t>?</w:t>
      </w:r>
      <w:r w:rsidR="00F4180D">
        <w:t>).</w:t>
      </w:r>
    </w:p>
    <w:p w14:paraId="46DE79DF" w14:textId="53BE6439" w:rsidR="00F4180D" w:rsidRDefault="00F4180D" w:rsidP="00B3755B">
      <w:pPr>
        <w:pStyle w:val="ListParagraph"/>
        <w:numPr>
          <w:ilvl w:val="0"/>
          <w:numId w:val="2"/>
        </w:numPr>
      </w:pPr>
      <w:r>
        <w:t xml:space="preserve">Justice </w:t>
      </w:r>
      <w:r w:rsidRPr="00F4180D">
        <w:t>Stevens</w:t>
      </w:r>
      <w:r>
        <w:t xml:space="preserve"> would not even want a distinction between rational basis review and strict scrutiny—one tier </w:t>
      </w:r>
      <w:r w:rsidR="005067DE">
        <w:t>would</w:t>
      </w:r>
      <w:r w:rsidR="008B457D">
        <w:t xml:space="preserve"> do</w:t>
      </w:r>
      <w:r>
        <w:t>.</w:t>
      </w:r>
    </w:p>
    <w:p w14:paraId="703C68D7" w14:textId="2F9C9852" w:rsidR="0098782B" w:rsidRDefault="00F4180D" w:rsidP="00B3755B">
      <w:pPr>
        <w:pStyle w:val="ListParagraph"/>
        <w:numPr>
          <w:ilvl w:val="0"/>
          <w:numId w:val="2"/>
        </w:numPr>
      </w:pPr>
      <w:r>
        <w:lastRenderedPageBreak/>
        <w:t xml:space="preserve">Justice </w:t>
      </w:r>
      <w:r w:rsidR="0098782B" w:rsidRPr="0098782B">
        <w:t xml:space="preserve">Rehnquist </w:t>
      </w:r>
      <w:r w:rsidR="0098782B">
        <w:t xml:space="preserve">questions what the majority is doing in inventing the mid-tier scrutiny, </w:t>
      </w:r>
      <w:r w:rsidR="003F55C2">
        <w:t>suggests</w:t>
      </w:r>
      <w:r w:rsidR="0098782B">
        <w:t xml:space="preserve"> that discrimination against men </w:t>
      </w:r>
      <w:r w:rsidR="00716ACC">
        <w:t>is different</w:t>
      </w:r>
      <w:r w:rsidR="0098782B">
        <w:t xml:space="preserve">, and says he would uphold the Oklahoma statute under </w:t>
      </w:r>
      <w:r w:rsidR="005577A6">
        <w:t>rational basis review.</w:t>
      </w:r>
    </w:p>
    <w:p w14:paraId="6B55FC7E" w14:textId="6FE6D9B0" w:rsidR="0098782B" w:rsidRDefault="0098782B" w:rsidP="0098782B">
      <w:pPr>
        <w:pStyle w:val="Heading1"/>
      </w:pPr>
      <w:r w:rsidRPr="0098782B">
        <w:rPr>
          <w:i/>
          <w:iCs/>
        </w:rPr>
        <w:t>United States v. Virginia</w:t>
      </w:r>
      <w:r>
        <w:t xml:space="preserve"> (1996)</w:t>
      </w:r>
    </w:p>
    <w:p w14:paraId="063A23E9" w14:textId="19CAD5A4" w:rsidR="00AF1E14" w:rsidRPr="00AF1E14" w:rsidRDefault="00AF1E14" w:rsidP="00AF1E14">
      <w:pPr>
        <w:pStyle w:val="Heading2"/>
      </w:pPr>
      <w:r>
        <w:t>Opinion of the Court (Justice Ginsburg)</w:t>
      </w:r>
    </w:p>
    <w:p w14:paraId="17CE6492" w14:textId="7B6E9333" w:rsidR="0098782B" w:rsidRDefault="00AE716B" w:rsidP="00B3755B">
      <w:pPr>
        <w:pStyle w:val="ListParagraph"/>
        <w:numPr>
          <w:ilvl w:val="0"/>
          <w:numId w:val="2"/>
        </w:numPr>
      </w:pPr>
      <w:r>
        <w:t>What is VMI? What admission</w:t>
      </w:r>
      <w:r w:rsidR="00A4610C">
        <w:t>s</w:t>
      </w:r>
      <w:r>
        <w:t xml:space="preserve"> policy does VMI have?</w:t>
      </w:r>
    </w:p>
    <w:p w14:paraId="2BCC8EE8" w14:textId="04E0E9A9" w:rsidR="00AE716B" w:rsidRDefault="00AE716B" w:rsidP="00B3755B">
      <w:pPr>
        <w:pStyle w:val="ListParagraph"/>
        <w:numPr>
          <w:ilvl w:val="0"/>
          <w:numId w:val="2"/>
        </w:numPr>
      </w:pPr>
      <w:r>
        <w:t xml:space="preserve">What is VWIL? </w:t>
      </w:r>
      <w:r w:rsidR="008B457D">
        <w:t>Is it the same</w:t>
      </w:r>
      <w:r>
        <w:t xml:space="preserve"> as VMI </w:t>
      </w:r>
      <w:r w:rsidR="008B457D">
        <w:t xml:space="preserve">in every </w:t>
      </w:r>
      <w:r w:rsidR="00452255">
        <w:t xml:space="preserve">relevant </w:t>
      </w:r>
      <w:r w:rsidR="008B457D">
        <w:t>respect</w:t>
      </w:r>
      <w:r>
        <w:t>?</w:t>
      </w:r>
    </w:p>
    <w:p w14:paraId="67264777" w14:textId="78D495C2" w:rsidR="00AE716B" w:rsidRDefault="00AE716B" w:rsidP="00B3755B">
      <w:pPr>
        <w:pStyle w:val="ListParagraph"/>
        <w:numPr>
          <w:ilvl w:val="0"/>
          <w:numId w:val="2"/>
        </w:numPr>
      </w:pPr>
      <w:r>
        <w:t>Which two questions does the case present?</w:t>
      </w:r>
    </w:p>
    <w:p w14:paraId="0E82346E" w14:textId="0ABBC983" w:rsidR="00AE716B" w:rsidRPr="00AE716B" w:rsidRDefault="00AE716B" w:rsidP="00B3755B">
      <w:pPr>
        <w:pStyle w:val="ListParagraph"/>
        <w:numPr>
          <w:ilvl w:val="0"/>
          <w:numId w:val="2"/>
        </w:numPr>
        <w:rPr>
          <w:b/>
          <w:bCs/>
        </w:rPr>
      </w:pPr>
      <w:r w:rsidRPr="00AE716B">
        <w:rPr>
          <w:b/>
          <w:bCs/>
        </w:rPr>
        <w:t xml:space="preserve">What standard must the Virginia government meet </w:t>
      </w:r>
      <w:proofErr w:type="gramStart"/>
      <w:r w:rsidRPr="00AE716B">
        <w:rPr>
          <w:b/>
          <w:bCs/>
        </w:rPr>
        <w:t>in order to</w:t>
      </w:r>
      <w:proofErr w:type="gramEnd"/>
      <w:r w:rsidRPr="00AE716B">
        <w:rPr>
          <w:b/>
          <w:bCs/>
        </w:rPr>
        <w:t xml:space="preserve"> defend VMI’s male-only admission policy? (Think about: is this the same </w:t>
      </w:r>
      <w:r>
        <w:rPr>
          <w:b/>
          <w:bCs/>
        </w:rPr>
        <w:t>standard</w:t>
      </w:r>
      <w:r w:rsidRPr="00AE716B">
        <w:rPr>
          <w:b/>
          <w:bCs/>
        </w:rPr>
        <w:t xml:space="preserve"> </w:t>
      </w:r>
      <w:r w:rsidR="00A4610C">
        <w:rPr>
          <w:b/>
          <w:bCs/>
        </w:rPr>
        <w:t>that the Court applied</w:t>
      </w:r>
      <w:r>
        <w:rPr>
          <w:b/>
          <w:bCs/>
        </w:rPr>
        <w:t xml:space="preserve"> in </w:t>
      </w:r>
      <w:r w:rsidRPr="00AE716B">
        <w:rPr>
          <w:b/>
          <w:bCs/>
          <w:i/>
          <w:iCs/>
        </w:rPr>
        <w:t>Craig v. Boren</w:t>
      </w:r>
      <w:r w:rsidRPr="00AE716B">
        <w:rPr>
          <w:b/>
          <w:bCs/>
        </w:rPr>
        <w:t>?)</w:t>
      </w:r>
    </w:p>
    <w:p w14:paraId="6D3A5E14" w14:textId="1BF65871" w:rsidR="00AE716B" w:rsidRDefault="00AE716B" w:rsidP="00AE716B"/>
    <w:p w14:paraId="54ABBAE5" w14:textId="5B2DC6D8" w:rsidR="00AE716B" w:rsidRDefault="00AE716B" w:rsidP="00AE716B"/>
    <w:p w14:paraId="5E127782" w14:textId="057F9A8F" w:rsidR="00452255" w:rsidRDefault="00452255" w:rsidP="00AE716B"/>
    <w:p w14:paraId="0B591BBF" w14:textId="77777777" w:rsidR="00452255" w:rsidRDefault="00452255" w:rsidP="00AE716B"/>
    <w:p w14:paraId="49537A95" w14:textId="77777777" w:rsidR="00A4610C" w:rsidRDefault="00A4610C" w:rsidP="00AE716B"/>
    <w:p w14:paraId="6ED02181" w14:textId="0BF3BF56" w:rsidR="00A4610C" w:rsidRDefault="00A4610C" w:rsidP="00AE716B"/>
    <w:p w14:paraId="0AC1C24D" w14:textId="6D6AAC11" w:rsidR="00AE716B" w:rsidRDefault="00C42DEB" w:rsidP="00B3755B">
      <w:pPr>
        <w:pStyle w:val="ListParagraph"/>
        <w:numPr>
          <w:ilvl w:val="0"/>
          <w:numId w:val="2"/>
        </w:numPr>
      </w:pPr>
      <w:r>
        <w:t xml:space="preserve">How does the Court apply </w:t>
      </w:r>
      <w:r w:rsidR="00A4610C">
        <w:t>this</w:t>
      </w:r>
      <w:r>
        <w:t xml:space="preserve"> standard to VMI’s admission policy?</w:t>
      </w:r>
    </w:p>
    <w:p w14:paraId="3234E7BC" w14:textId="284C3A84" w:rsidR="00C42DEB" w:rsidRDefault="00C42DEB" w:rsidP="00B3755B">
      <w:pPr>
        <w:pStyle w:val="ListParagraph"/>
        <w:numPr>
          <w:ilvl w:val="0"/>
          <w:numId w:val="2"/>
        </w:numPr>
      </w:pPr>
      <w:r>
        <w:t>How does the Court respond to the Virginia government’s objection that having a single-sex public institution of higher education furthers its diversity interest?</w:t>
      </w:r>
    </w:p>
    <w:p w14:paraId="1BAA4299" w14:textId="02B2D74F" w:rsidR="00C42DEB" w:rsidRDefault="00C42DEB" w:rsidP="00B3755B">
      <w:pPr>
        <w:pStyle w:val="ListParagraph"/>
        <w:numPr>
          <w:ilvl w:val="0"/>
          <w:numId w:val="2"/>
        </w:numPr>
      </w:pPr>
      <w:r>
        <w:t>And what is the Court’s response to Virginia’s second objection that admitting women cadets would undermine the VMI program?</w:t>
      </w:r>
    </w:p>
    <w:p w14:paraId="1ACCB333" w14:textId="03D4FF85" w:rsidR="00C42DEB" w:rsidRDefault="00C42DEB" w:rsidP="00B3755B">
      <w:pPr>
        <w:pStyle w:val="ListParagraph"/>
        <w:numPr>
          <w:ilvl w:val="0"/>
          <w:numId w:val="2"/>
        </w:numPr>
      </w:pPr>
      <w:r>
        <w:t xml:space="preserve">On what grounds does the Court reject VWIL as an inadequate </w:t>
      </w:r>
      <w:r w:rsidR="005143E9">
        <w:t>remedy</w:t>
      </w:r>
      <w:r>
        <w:t>?</w:t>
      </w:r>
    </w:p>
    <w:p w14:paraId="7A2D6BB0" w14:textId="05A037B1" w:rsidR="00C42DEB" w:rsidRDefault="00C42DEB" w:rsidP="00B3755B">
      <w:pPr>
        <w:pStyle w:val="ListParagraph"/>
        <w:numPr>
          <w:ilvl w:val="0"/>
          <w:numId w:val="2"/>
        </w:numPr>
      </w:pPr>
      <w:r>
        <w:t xml:space="preserve">How might one reconcile the Court’s earlier claim that there are inherent differences between women and men </w:t>
      </w:r>
      <w:r w:rsidR="000165C4">
        <w:t>with</w:t>
      </w:r>
      <w:r>
        <w:t xml:space="preserve"> the claim that Virginia cannot use inherent differences as </w:t>
      </w:r>
      <w:r w:rsidR="00AF1E14">
        <w:t>justification</w:t>
      </w:r>
      <w:r>
        <w:t xml:space="preserve"> for </w:t>
      </w:r>
      <w:r w:rsidR="00AF1E14">
        <w:t xml:space="preserve">two parallel programs </w:t>
      </w:r>
      <w:r w:rsidR="000165C4">
        <w:t xml:space="preserve">each </w:t>
      </w:r>
      <w:r w:rsidR="00AF1E14">
        <w:t xml:space="preserve">suited to </w:t>
      </w:r>
      <w:r w:rsidR="000165C4">
        <w:t>a different</w:t>
      </w:r>
      <w:r w:rsidR="00AF1E14">
        <w:t xml:space="preserve"> gender?</w:t>
      </w:r>
    </w:p>
    <w:p w14:paraId="7ED3061E" w14:textId="602200A9" w:rsidR="00AF1E14" w:rsidRDefault="00AF1E14" w:rsidP="00B3755B">
      <w:pPr>
        <w:pStyle w:val="ListParagraph"/>
        <w:numPr>
          <w:ilvl w:val="0"/>
          <w:numId w:val="2"/>
        </w:numPr>
      </w:pPr>
      <w:r>
        <w:t>The Court seems to be offering two independent arguments</w:t>
      </w:r>
      <w:r w:rsidR="0000546E">
        <w:t xml:space="preserve"> here</w:t>
      </w:r>
      <w:r>
        <w:t xml:space="preserve">, but they are not always clearly distinguished: (1) VMI and VWIL are separate but </w:t>
      </w:r>
      <w:r>
        <w:rPr>
          <w:i/>
          <w:iCs/>
        </w:rPr>
        <w:t>not equal</w:t>
      </w:r>
      <w:r>
        <w:t xml:space="preserve">, and (2) the separation is </w:t>
      </w:r>
      <w:r w:rsidR="009868D5">
        <w:t xml:space="preserve">itself </w:t>
      </w:r>
      <w:r w:rsidR="00A513A8">
        <w:t>wrongful</w:t>
      </w:r>
      <w:r>
        <w:t xml:space="preserve"> even if </w:t>
      </w:r>
      <w:r w:rsidR="00CA0CCE">
        <w:t xml:space="preserve">VMI and VWIL </w:t>
      </w:r>
      <w:r>
        <w:t>are equal.</w:t>
      </w:r>
    </w:p>
    <w:p w14:paraId="7B5ED5DD" w14:textId="2E187E2D" w:rsidR="00AF1E14" w:rsidRDefault="00AF1E14" w:rsidP="00AF1E14">
      <w:pPr>
        <w:pStyle w:val="Heading2"/>
      </w:pPr>
      <w:r>
        <w:t>Chief Justice Rehnquist’s Concurrence</w:t>
      </w:r>
    </w:p>
    <w:p w14:paraId="428615A0" w14:textId="75F4A993" w:rsidR="00AF1E14" w:rsidRDefault="00AF1E14" w:rsidP="00B3755B">
      <w:pPr>
        <w:pStyle w:val="ListParagraph"/>
        <w:numPr>
          <w:ilvl w:val="0"/>
          <w:numId w:val="2"/>
        </w:numPr>
      </w:pPr>
      <w:r>
        <w:t xml:space="preserve">In the first paragraph, </w:t>
      </w:r>
      <w:r w:rsidR="00130E28">
        <w:t>now</w:t>
      </w:r>
      <w:r w:rsidR="00687B6B">
        <w:t>–</w:t>
      </w:r>
      <w:r w:rsidR="00130E28">
        <w:t xml:space="preserve">Chief Justice </w:t>
      </w:r>
      <w:r>
        <w:t xml:space="preserve">Rehnquist worries that the Court is not strictly adhering to the intermediate scrutiny standard articulated in </w:t>
      </w:r>
      <w:r>
        <w:rPr>
          <w:i/>
          <w:iCs/>
        </w:rPr>
        <w:t>Craig</w:t>
      </w:r>
      <w:r>
        <w:t>.</w:t>
      </w:r>
    </w:p>
    <w:p w14:paraId="36B61C33" w14:textId="65408667" w:rsidR="00AF1E14" w:rsidRDefault="00AF1E14" w:rsidP="00B3755B">
      <w:pPr>
        <w:pStyle w:val="ListParagraph"/>
        <w:numPr>
          <w:ilvl w:val="0"/>
          <w:numId w:val="2"/>
        </w:numPr>
      </w:pPr>
      <w:r>
        <w:lastRenderedPageBreak/>
        <w:t>Skim the next two paragraphs.</w:t>
      </w:r>
    </w:p>
    <w:p w14:paraId="77711573" w14:textId="5DE18434" w:rsidR="00AF1E14" w:rsidRDefault="00AF1E14" w:rsidP="00B3755B">
      <w:pPr>
        <w:pStyle w:val="ListParagraph"/>
        <w:numPr>
          <w:ilvl w:val="0"/>
          <w:numId w:val="2"/>
        </w:numPr>
      </w:pPr>
      <w:r>
        <w:t xml:space="preserve">In the last paragraph, Rehnquist seems to agree </w:t>
      </w:r>
      <w:r w:rsidR="00A93807">
        <w:t xml:space="preserve">that </w:t>
      </w:r>
      <w:r>
        <w:t xml:space="preserve">VWIL is not an adequate remedy because it is not actually equal to VMI. Would he think, if VWIL were separate but </w:t>
      </w:r>
      <w:proofErr w:type="gramStart"/>
      <w:r w:rsidRPr="008B457D">
        <w:rPr>
          <w:i/>
          <w:iCs/>
        </w:rPr>
        <w:t>really</w:t>
      </w:r>
      <w:r>
        <w:t xml:space="preserve"> equal</w:t>
      </w:r>
      <w:proofErr w:type="gramEnd"/>
      <w:r>
        <w:t xml:space="preserve">, it would still violate equal protection? How </w:t>
      </w:r>
      <w:r w:rsidR="00E46FE9">
        <w:t>about</w:t>
      </w:r>
      <w:r>
        <w:t xml:space="preserve"> the majority?</w:t>
      </w:r>
    </w:p>
    <w:p w14:paraId="3EE8BCA6" w14:textId="17CE81CB" w:rsidR="00AF1E14" w:rsidRDefault="00AF1E14" w:rsidP="00AF1E14">
      <w:pPr>
        <w:pStyle w:val="Heading2"/>
      </w:pPr>
      <w:r>
        <w:t>Justice Scalia’s Dissent</w:t>
      </w:r>
    </w:p>
    <w:p w14:paraId="24A55F08" w14:textId="0E7E9679" w:rsidR="00AF1E14" w:rsidRDefault="008C2DF2" w:rsidP="00B3755B">
      <w:pPr>
        <w:pStyle w:val="ListParagraph"/>
        <w:numPr>
          <w:ilvl w:val="0"/>
          <w:numId w:val="2"/>
        </w:numPr>
      </w:pPr>
      <w:r>
        <w:t xml:space="preserve">Why does </w:t>
      </w:r>
      <w:r w:rsidR="00130E28">
        <w:t xml:space="preserve">Justice </w:t>
      </w:r>
      <w:r>
        <w:t>Scalia find the Court’s decision today undemocratic and “illiberal”?</w:t>
      </w:r>
    </w:p>
    <w:p w14:paraId="4642BD70" w14:textId="33564FB5" w:rsidR="008C2DF2" w:rsidRDefault="008C2DF2" w:rsidP="00B3755B">
      <w:pPr>
        <w:pStyle w:val="ListParagraph"/>
        <w:numPr>
          <w:ilvl w:val="0"/>
          <w:numId w:val="2"/>
        </w:numPr>
      </w:pPr>
      <w:r>
        <w:t>Skim the next two paragraphs.</w:t>
      </w:r>
    </w:p>
    <w:p w14:paraId="113C997D" w14:textId="1C1C3ED8" w:rsidR="008C2DF2" w:rsidRDefault="008C2DF2" w:rsidP="00B3755B">
      <w:pPr>
        <w:pStyle w:val="ListParagraph"/>
        <w:numPr>
          <w:ilvl w:val="0"/>
          <w:numId w:val="2"/>
        </w:numPr>
      </w:pPr>
      <w:r>
        <w:t xml:space="preserve">Scalia then </w:t>
      </w:r>
      <w:r w:rsidR="000A4245">
        <w:t>criticizes</w:t>
      </w:r>
      <w:r>
        <w:t xml:space="preserve"> the majority’s “exceedingly persuasive justification” standard as strict scrutiny in disguise.</w:t>
      </w:r>
    </w:p>
    <w:p w14:paraId="17490489" w14:textId="3FD32797" w:rsidR="008C2DF2" w:rsidRDefault="008C2DF2" w:rsidP="00B3755B">
      <w:pPr>
        <w:pStyle w:val="ListParagraph"/>
        <w:numPr>
          <w:ilvl w:val="0"/>
          <w:numId w:val="2"/>
        </w:numPr>
      </w:pPr>
      <w:r>
        <w:t>How would Scalia apply the usual intermediate scrutiny standard to VMI’s policy?</w:t>
      </w:r>
    </w:p>
    <w:p w14:paraId="22A28FD1" w14:textId="7941CC78" w:rsidR="008C2DF2" w:rsidRDefault="008C2DF2" w:rsidP="00B3755B">
      <w:pPr>
        <w:pStyle w:val="ListParagraph"/>
        <w:numPr>
          <w:ilvl w:val="0"/>
          <w:numId w:val="2"/>
        </w:numPr>
      </w:pPr>
      <w:r>
        <w:t>Skim the rest of the Scalia dissent.</w:t>
      </w:r>
    </w:p>
    <w:p w14:paraId="6C5B8940" w14:textId="3778E4CA" w:rsidR="00D66CD2" w:rsidRDefault="00D66CD2" w:rsidP="00D66CD2">
      <w:pPr>
        <w:pStyle w:val="Heading1"/>
      </w:pPr>
      <w:r w:rsidRPr="00D66CD2">
        <w:t>Pregnancy Discrimination Act of 1978</w:t>
      </w:r>
    </w:p>
    <w:p w14:paraId="53ADC2CF" w14:textId="77777777" w:rsidR="00364A23" w:rsidRDefault="00364A23" w:rsidP="00B3755B">
      <w:pPr>
        <w:pStyle w:val="ListParagraph"/>
        <w:numPr>
          <w:ilvl w:val="0"/>
          <w:numId w:val="2"/>
        </w:numPr>
      </w:pPr>
      <w:r>
        <w:t xml:space="preserve">A bit of context: In a 1976 case, </w:t>
      </w:r>
      <w:r w:rsidRPr="00364A23">
        <w:rPr>
          <w:i/>
          <w:iCs/>
        </w:rPr>
        <w:t>General Electric v. Gilbert</w:t>
      </w:r>
      <w:r>
        <w:t xml:space="preserve">, the Court extended </w:t>
      </w:r>
      <w:proofErr w:type="spellStart"/>
      <w:r w:rsidRPr="00364A23">
        <w:rPr>
          <w:i/>
          <w:iCs/>
        </w:rPr>
        <w:t>Geduldig</w:t>
      </w:r>
      <w:r>
        <w:t>’s</w:t>
      </w:r>
      <w:proofErr w:type="spellEnd"/>
      <w:r>
        <w:t xml:space="preserve"> interpretation of the Equal Protection Clause to Title VII, upholding General Electric (a private employer)’s analogous exclusion of pregnancy overage on analogous grounds.</w:t>
      </w:r>
    </w:p>
    <w:p w14:paraId="33EDE86F" w14:textId="138AECDE" w:rsidR="00D66CD2" w:rsidRDefault="00D66CD2" w:rsidP="00B3755B">
      <w:pPr>
        <w:pStyle w:val="ListParagraph"/>
        <w:numPr>
          <w:ilvl w:val="0"/>
          <w:numId w:val="2"/>
        </w:numPr>
      </w:pPr>
      <w:r>
        <w:t>Read only section 1 of the Act. What is Congress doing here?</w:t>
      </w:r>
    </w:p>
    <w:p w14:paraId="4B3DCA14" w14:textId="5E25AB71" w:rsidR="00B12E51" w:rsidRDefault="00B12E51" w:rsidP="00B12E51">
      <w:pPr>
        <w:pStyle w:val="Heading1"/>
      </w:pPr>
      <w:r>
        <w:t xml:space="preserve">Handout: </w:t>
      </w:r>
      <w:r w:rsidRPr="00B12E51">
        <w:t>“Women’s Liberation Movement and the Law: A Chronology of Cases”</w:t>
      </w:r>
    </w:p>
    <w:p w14:paraId="662EFB4B" w14:textId="365973FB" w:rsidR="00B12E51" w:rsidRPr="00B12E51" w:rsidRDefault="00452255" w:rsidP="00B12E51">
      <w:pPr>
        <w:pStyle w:val="ListParagraph"/>
        <w:numPr>
          <w:ilvl w:val="0"/>
          <w:numId w:val="2"/>
        </w:numPr>
      </w:pPr>
      <w:r>
        <w:t>This</w:t>
      </w:r>
      <w:r w:rsidR="00B12E51">
        <w:t xml:space="preserve"> handout provides a useful chronology of </w:t>
      </w:r>
      <w:r w:rsidR="007E3200">
        <w:t xml:space="preserve">the </w:t>
      </w:r>
      <w:r w:rsidR="00B12E51">
        <w:t>major cases, laws</w:t>
      </w:r>
      <w:r w:rsidR="007E3200">
        <w:t>,</w:t>
      </w:r>
      <w:r w:rsidR="00B12E51">
        <w:t xml:space="preserve"> and events in relation to the Women’s Liberation Movement of the 60s and 70s. It gives historical context to the </w:t>
      </w:r>
      <w:r w:rsidR="00C617CA">
        <w:t>line</w:t>
      </w:r>
      <w:r w:rsidR="00B12E51">
        <w:t xml:space="preserve"> of gender equality cases we just read, and </w:t>
      </w:r>
      <w:r w:rsidR="001C0247">
        <w:t>previews</w:t>
      </w:r>
      <w:r w:rsidR="00B12E51">
        <w:t xml:space="preserve"> some of the cases we will discuss later. I don’t have any reading guide questions for the chronology. </w:t>
      </w:r>
      <w:r w:rsidR="001C0247">
        <w:t>Please r</w:t>
      </w:r>
      <w:r w:rsidR="00B12E51">
        <w:t>ead it on your own and use it for reference.</w:t>
      </w:r>
    </w:p>
    <w:p w14:paraId="6F7250E2" w14:textId="5BA0BDBD" w:rsidR="00E74637" w:rsidRDefault="00E74637" w:rsidP="00E74637">
      <w:pPr>
        <w:pStyle w:val="Heading1"/>
      </w:pPr>
      <w:r>
        <w:t>Interview with Justice Ginsburg</w:t>
      </w:r>
    </w:p>
    <w:p w14:paraId="0F95F32D" w14:textId="373C1AA5" w:rsidR="00E74637" w:rsidRDefault="004715D7" w:rsidP="00B3755B">
      <w:pPr>
        <w:pStyle w:val="ListParagraph"/>
        <w:numPr>
          <w:ilvl w:val="0"/>
          <w:numId w:val="2"/>
        </w:numPr>
      </w:pPr>
      <w:r>
        <w:t>I</w:t>
      </w:r>
      <w:r w:rsidR="00E74637">
        <w:t xml:space="preserve">t’s difficult to write reading guide questions for </w:t>
      </w:r>
      <w:r>
        <w:t>an interview, and</w:t>
      </w:r>
      <w:r w:rsidR="00E74637">
        <w:t xml:space="preserve"> I also don’t want to </w:t>
      </w:r>
      <w:r>
        <w:t>give out</w:t>
      </w:r>
      <w:r w:rsidR="00E74637">
        <w:t xml:space="preserve"> any spoilers. So, I’ll just make a couple of mostly FYI-style notes to help connect some of the interview’s highlights </w:t>
      </w:r>
      <w:r w:rsidR="007E3200">
        <w:t>to</w:t>
      </w:r>
      <w:r w:rsidR="00E74637">
        <w:t xml:space="preserve"> the materials we just read.</w:t>
      </w:r>
    </w:p>
    <w:p w14:paraId="158F2103" w14:textId="4C2F31D7" w:rsidR="00E74637" w:rsidRDefault="00E74637" w:rsidP="00B3755B">
      <w:pPr>
        <w:pStyle w:val="ListParagraph"/>
        <w:numPr>
          <w:ilvl w:val="0"/>
          <w:numId w:val="2"/>
        </w:numPr>
      </w:pPr>
      <w:r>
        <w:t xml:space="preserve">00:00: The interviewer is </w:t>
      </w:r>
      <w:r w:rsidR="004715D7">
        <w:t xml:space="preserve">Professor </w:t>
      </w:r>
      <w:r>
        <w:t>Martha Minow,</w:t>
      </w:r>
      <w:r w:rsidR="004715D7">
        <w:t xml:space="preserve"> </w:t>
      </w:r>
      <w:r w:rsidR="002307D9">
        <w:t xml:space="preserve">who was </w:t>
      </w:r>
      <w:r>
        <w:t>Dean of Harvard Law School</w:t>
      </w:r>
      <w:r w:rsidR="004715D7">
        <w:t xml:space="preserve"> at the time</w:t>
      </w:r>
      <w:r w:rsidR="008B457D">
        <w:t xml:space="preserve"> of the interview</w:t>
      </w:r>
      <w:r w:rsidR="004715D7">
        <w:t>.</w:t>
      </w:r>
      <w:r w:rsidR="00B87089">
        <w:t xml:space="preserve"> Note that Minow mentions the event was delayed because Justice Ginsburg had to answer a call. They will come back to this soon.</w:t>
      </w:r>
    </w:p>
    <w:p w14:paraId="2EF2304E" w14:textId="5F10467D" w:rsidR="00E74637" w:rsidRDefault="00E74637" w:rsidP="00B3755B">
      <w:pPr>
        <w:pStyle w:val="ListParagraph"/>
        <w:numPr>
          <w:ilvl w:val="0"/>
          <w:numId w:val="2"/>
        </w:numPr>
      </w:pPr>
      <w:r>
        <w:lastRenderedPageBreak/>
        <w:t xml:space="preserve">1:05: Ginsburg was appointed to the D.C. Circuit in 1980 from her positions at </w:t>
      </w:r>
      <w:r w:rsidR="004715D7">
        <w:t xml:space="preserve">the </w:t>
      </w:r>
      <w:r w:rsidR="00336EA6">
        <w:t>ACLU</w:t>
      </w:r>
      <w:r w:rsidR="004715D7" w:rsidRPr="004715D7">
        <w:t xml:space="preserve"> </w:t>
      </w:r>
      <w:r>
        <w:t>and Columbia Law School</w:t>
      </w:r>
      <w:r w:rsidR="004715D7">
        <w:t xml:space="preserve"> (</w:t>
      </w:r>
      <w:r w:rsidR="00097D05">
        <w:t xml:space="preserve">it </w:t>
      </w:r>
      <w:r w:rsidR="006013EA">
        <w:t>was not</w:t>
      </w:r>
      <w:r w:rsidR="00097D05">
        <w:t xml:space="preserve"> until</w:t>
      </w:r>
      <w:r w:rsidR="002307D9">
        <w:t xml:space="preserve"> June 2023</w:t>
      </w:r>
      <w:r w:rsidR="00097D05">
        <w:t xml:space="preserve"> that</w:t>
      </w:r>
      <w:r w:rsidR="002307D9">
        <w:t xml:space="preserve"> Dale Ho, a distinguished voting rights lawyer, became the second ACLU attorney to be confirmed directly to the federal bench</w:t>
      </w:r>
      <w:r w:rsidR="004715D7">
        <w:t>)</w:t>
      </w:r>
      <w:r>
        <w:t xml:space="preserve">. Minow was clerking for </w:t>
      </w:r>
      <w:r w:rsidRPr="008F36F3">
        <w:t>Judge David Bazelon</w:t>
      </w:r>
      <w:r>
        <w:t xml:space="preserve"> on the D.C. Circuit from 1979 to 1980, </w:t>
      </w:r>
      <w:r w:rsidR="000165C4">
        <w:t>after which</w:t>
      </w:r>
      <w:r>
        <w:t xml:space="preserve"> she would go on to clerk for Justice </w:t>
      </w:r>
      <w:r w:rsidRPr="008F36F3">
        <w:t>Thurgood Marshall</w:t>
      </w:r>
      <w:r>
        <w:t xml:space="preserve"> from 1980 to 1981.</w:t>
      </w:r>
    </w:p>
    <w:p w14:paraId="1C33ED5D" w14:textId="6651B638" w:rsidR="00E74637" w:rsidRDefault="00E74637" w:rsidP="005B5457">
      <w:pPr>
        <w:pStyle w:val="ListParagraph"/>
        <w:numPr>
          <w:ilvl w:val="0"/>
          <w:numId w:val="2"/>
        </w:numPr>
      </w:pPr>
      <w:r>
        <w:t>3:12: Ginsburg</w:t>
      </w:r>
      <w:r w:rsidR="009E331B">
        <w:t xml:space="preserve"> recounts</w:t>
      </w:r>
      <w:r>
        <w:t xml:space="preserve"> how the law was a heavily male-typed profession.</w:t>
      </w:r>
    </w:p>
    <w:p w14:paraId="0F25D823" w14:textId="046624D6" w:rsidR="00E74637" w:rsidRDefault="00E74637" w:rsidP="00F355E2">
      <w:pPr>
        <w:pStyle w:val="ListParagraph"/>
        <w:numPr>
          <w:ilvl w:val="0"/>
          <w:numId w:val="2"/>
        </w:numPr>
      </w:pPr>
      <w:r>
        <w:t xml:space="preserve">5:25: The </w:t>
      </w:r>
      <w:r w:rsidR="00312903">
        <w:t xml:space="preserve">social </w:t>
      </w:r>
      <w:r>
        <w:t xml:space="preserve">expectation </w:t>
      </w:r>
      <w:r w:rsidR="00312903">
        <w:t>was</w:t>
      </w:r>
      <w:r>
        <w:t xml:space="preserve"> that women </w:t>
      </w:r>
      <w:r w:rsidR="00312903">
        <w:t xml:space="preserve">would </w:t>
      </w:r>
      <w:r>
        <w:t xml:space="preserve">go to college </w:t>
      </w:r>
      <w:proofErr w:type="gramStart"/>
      <w:r w:rsidRPr="00133767">
        <w:rPr>
          <w:i/>
          <w:iCs/>
        </w:rPr>
        <w:t>in order to</w:t>
      </w:r>
      <w:proofErr w:type="gramEnd"/>
      <w:r>
        <w:t xml:space="preserve"> find a husband.</w:t>
      </w:r>
    </w:p>
    <w:p w14:paraId="39E177E7" w14:textId="77777777" w:rsidR="00E74637" w:rsidRDefault="00E74637" w:rsidP="008B457D">
      <w:pPr>
        <w:pStyle w:val="ListParagraph"/>
        <w:numPr>
          <w:ilvl w:val="0"/>
          <w:numId w:val="2"/>
        </w:numPr>
      </w:pPr>
      <w:r>
        <w:t>5:58: Cornell’s dorm policy for women.</w:t>
      </w:r>
    </w:p>
    <w:p w14:paraId="19C1B3CF" w14:textId="5D9FEB0D" w:rsidR="00E74637" w:rsidRDefault="00E74637" w:rsidP="001C7C4A">
      <w:pPr>
        <w:pStyle w:val="ListParagraph"/>
        <w:numPr>
          <w:ilvl w:val="0"/>
          <w:numId w:val="2"/>
        </w:numPr>
      </w:pPr>
      <w:r>
        <w:t>10:10: Harvard’s discrimination against women students.</w:t>
      </w:r>
    </w:p>
    <w:p w14:paraId="371BCC57" w14:textId="09F2E3D3" w:rsidR="00E74637" w:rsidRDefault="00E74637" w:rsidP="001C7C4A">
      <w:pPr>
        <w:pStyle w:val="ListParagraph"/>
        <w:numPr>
          <w:ilvl w:val="0"/>
          <w:numId w:val="2"/>
        </w:numPr>
      </w:pPr>
      <w:r>
        <w:t>11:52: Ginsburg attended law school while caring for her child and her husband</w:t>
      </w:r>
      <w:r w:rsidR="00312903">
        <w:t>,</w:t>
      </w:r>
      <w:r>
        <w:t xml:space="preserve"> who later fell ill.</w:t>
      </w:r>
    </w:p>
    <w:p w14:paraId="407AEBAA" w14:textId="18FF6196" w:rsidR="00E74637" w:rsidRDefault="00E74637" w:rsidP="002B401D">
      <w:pPr>
        <w:pStyle w:val="ListParagraph"/>
        <w:numPr>
          <w:ilvl w:val="0"/>
          <w:numId w:val="2"/>
        </w:numPr>
      </w:pPr>
      <w:r>
        <w:t xml:space="preserve">13:30: The issue of moving </w:t>
      </w:r>
      <w:r w:rsidR="00312903">
        <w:t>to</w:t>
      </w:r>
      <w:r>
        <w:t xml:space="preserve"> live with one’s partner comes up again.</w:t>
      </w:r>
    </w:p>
    <w:p w14:paraId="46AFAC3A" w14:textId="113941E1" w:rsidR="00E74637" w:rsidRDefault="00E74637" w:rsidP="002B401D">
      <w:pPr>
        <w:pStyle w:val="ListParagraph"/>
        <w:numPr>
          <w:ilvl w:val="0"/>
          <w:numId w:val="2"/>
        </w:numPr>
      </w:pPr>
      <w:r>
        <w:t xml:space="preserve">15:05: Ginsburg mentions that Minow’s predecessor offered her a Harvard Law School degree every year. That predecessor was none other than </w:t>
      </w:r>
      <w:r w:rsidR="00312903">
        <w:t xml:space="preserve">then-Professor and Dean </w:t>
      </w:r>
      <w:r w:rsidRPr="00B52063">
        <w:t>Elena Kagan</w:t>
      </w:r>
      <w:r>
        <w:t xml:space="preserve">, who </w:t>
      </w:r>
      <w:r w:rsidR="00312903">
        <w:t xml:space="preserve">was appointed as </w:t>
      </w:r>
      <w:r>
        <w:t xml:space="preserve">Solicitor General in 2009 and </w:t>
      </w:r>
      <w:r w:rsidR="00312903">
        <w:t>then to</w:t>
      </w:r>
      <w:r>
        <w:t xml:space="preserve"> the Court</w:t>
      </w:r>
      <w:r w:rsidR="00312903">
        <w:t xml:space="preserve"> </w:t>
      </w:r>
      <w:r w:rsidR="008B457D">
        <w:t>in 2010</w:t>
      </w:r>
      <w:r>
        <w:t>.</w:t>
      </w:r>
    </w:p>
    <w:p w14:paraId="5C6F143F" w14:textId="6133AC9C" w:rsidR="00E74637" w:rsidRDefault="00E74637" w:rsidP="002B401D">
      <w:pPr>
        <w:pStyle w:val="ListParagraph"/>
        <w:numPr>
          <w:ilvl w:val="0"/>
          <w:numId w:val="2"/>
        </w:numPr>
      </w:pPr>
      <w:r>
        <w:t xml:space="preserve">16:20: Ginsburg is interrupted again. She soon explains that it’s an emergency petition </w:t>
      </w:r>
      <w:r w:rsidR="002D7B42">
        <w:t>from the circuit she’s responsible for</w:t>
      </w:r>
      <w:r>
        <w:t xml:space="preserve">. This was before the rise of the shadow docket that Vladeck noted in </w:t>
      </w:r>
      <w:r w:rsidR="00B87089">
        <w:t>the</w:t>
      </w:r>
      <w:r>
        <w:t xml:space="preserve"> </w:t>
      </w:r>
      <w:proofErr w:type="gramStart"/>
      <w:r>
        <w:t>piece</w:t>
      </w:r>
      <w:proofErr w:type="gramEnd"/>
      <w:r>
        <w:t xml:space="preserve"> we read for our first module. Recall his worry about the rise of emergency petitions risk</w:t>
      </w:r>
      <w:r w:rsidR="001C0247">
        <w:t>ing</w:t>
      </w:r>
      <w:r>
        <w:t xml:space="preserve"> distorting the balance of the Court’s workload.</w:t>
      </w:r>
    </w:p>
    <w:p w14:paraId="2C68934C" w14:textId="77777777" w:rsidR="00E74637" w:rsidRDefault="00E74637" w:rsidP="002B401D">
      <w:pPr>
        <w:pStyle w:val="ListParagraph"/>
        <w:numPr>
          <w:ilvl w:val="0"/>
          <w:numId w:val="2"/>
        </w:numPr>
      </w:pPr>
      <w:r>
        <w:t>16:50: Ginsburg explains what a circuit justice does.</w:t>
      </w:r>
    </w:p>
    <w:p w14:paraId="42E79F5A" w14:textId="65528C0F" w:rsidR="00E74637" w:rsidRDefault="00E74637" w:rsidP="002B401D">
      <w:pPr>
        <w:pStyle w:val="ListParagraph"/>
        <w:numPr>
          <w:ilvl w:val="0"/>
          <w:numId w:val="2"/>
        </w:numPr>
      </w:pPr>
      <w:r>
        <w:t xml:space="preserve">17:20: No judges offered Ginsburg a clerkship (and no law firms offered her a job) until Professor Gunther (then teaching at Columbia Law School) called every judge in the area to sell her. </w:t>
      </w:r>
      <w:r w:rsidR="00B87089">
        <w:t>N</w:t>
      </w:r>
      <w:r>
        <w:t>ote</w:t>
      </w:r>
      <w:r w:rsidR="00B87089">
        <w:t xml:space="preserve"> also</w:t>
      </w:r>
      <w:r>
        <w:t xml:space="preserve"> that Ginsburg says Judge Palmieri always hired Columbia graduates as clerks. Think about the implications of premising access to opportunities in the legal profession on these kinds of personal connections and small-knit circles around prestigious law schools, even though in this case they worked to break the glass ceiling for Ginsburg.</w:t>
      </w:r>
    </w:p>
    <w:p w14:paraId="4AD92A3E" w14:textId="77777777" w:rsidR="00E74637" w:rsidRDefault="00E74637" w:rsidP="002B401D">
      <w:pPr>
        <w:pStyle w:val="ListParagraph"/>
        <w:numPr>
          <w:ilvl w:val="0"/>
          <w:numId w:val="2"/>
        </w:numPr>
      </w:pPr>
      <w:r>
        <w:t>18:25: “But she has a young child.”</w:t>
      </w:r>
    </w:p>
    <w:p w14:paraId="0836719B" w14:textId="77777777" w:rsidR="00E74637" w:rsidRDefault="00E74637" w:rsidP="002B401D">
      <w:pPr>
        <w:pStyle w:val="ListParagraph"/>
        <w:numPr>
          <w:ilvl w:val="0"/>
          <w:numId w:val="2"/>
        </w:numPr>
      </w:pPr>
      <w:r>
        <w:t>19:35: The practical impact of Title VII.</w:t>
      </w:r>
    </w:p>
    <w:p w14:paraId="2BB0FC0F" w14:textId="77777777" w:rsidR="00E74637" w:rsidRDefault="00E74637" w:rsidP="002B401D">
      <w:pPr>
        <w:pStyle w:val="ListParagraph"/>
        <w:numPr>
          <w:ilvl w:val="0"/>
          <w:numId w:val="2"/>
        </w:numPr>
      </w:pPr>
      <w:r>
        <w:t>19:52: Discrimination against women and discrimination against mothers.</w:t>
      </w:r>
    </w:p>
    <w:p w14:paraId="3FC2A07E" w14:textId="77777777" w:rsidR="00E74637" w:rsidRDefault="00E74637" w:rsidP="002B401D">
      <w:pPr>
        <w:pStyle w:val="ListParagraph"/>
        <w:numPr>
          <w:ilvl w:val="0"/>
          <w:numId w:val="2"/>
        </w:numPr>
      </w:pPr>
      <w:r>
        <w:t>20:00: Note the door a clerkship suddenly opens.</w:t>
      </w:r>
    </w:p>
    <w:p w14:paraId="2893E1D5" w14:textId="77777777" w:rsidR="00E74637" w:rsidRDefault="00E74637" w:rsidP="002B401D">
      <w:pPr>
        <w:pStyle w:val="ListParagraph"/>
        <w:numPr>
          <w:ilvl w:val="0"/>
          <w:numId w:val="2"/>
        </w:numPr>
      </w:pPr>
      <w:r>
        <w:lastRenderedPageBreak/>
        <w:t>20:30: Justice O’Connor (the first woman to serve on the U.S. Supreme Court) also shares Ginsburg’s experiences.</w:t>
      </w:r>
    </w:p>
    <w:p w14:paraId="4C4B7CF9" w14:textId="77777777" w:rsidR="00E74637" w:rsidRDefault="00E74637" w:rsidP="002B401D">
      <w:pPr>
        <w:pStyle w:val="ListParagraph"/>
        <w:numPr>
          <w:ilvl w:val="0"/>
          <w:numId w:val="2"/>
        </w:numPr>
      </w:pPr>
      <w:r>
        <w:t>23:00: Ginsburg’s early involvement in ACLU’s Women’s Rights Project.</w:t>
      </w:r>
    </w:p>
    <w:p w14:paraId="07063912" w14:textId="77777777" w:rsidR="00E74637" w:rsidRDefault="00E74637" w:rsidP="002B401D">
      <w:pPr>
        <w:pStyle w:val="ListParagraph"/>
        <w:numPr>
          <w:ilvl w:val="0"/>
          <w:numId w:val="2"/>
        </w:numPr>
      </w:pPr>
      <w:r>
        <w:t>26:05: Influence of NAACP LDF’s litigation strategy and the relationship between racial and gender inequality litigation.</w:t>
      </w:r>
    </w:p>
    <w:p w14:paraId="14C82E80" w14:textId="77777777" w:rsidR="00E74637" w:rsidRDefault="00E74637" w:rsidP="002B401D">
      <w:pPr>
        <w:pStyle w:val="ListParagraph"/>
        <w:numPr>
          <w:ilvl w:val="0"/>
          <w:numId w:val="2"/>
        </w:numPr>
      </w:pPr>
      <w:r>
        <w:t>27:30: Gender equality is for everybody.</w:t>
      </w:r>
    </w:p>
    <w:p w14:paraId="5EAC9880" w14:textId="52E81BA7" w:rsidR="00E74637" w:rsidRDefault="00E74637" w:rsidP="002B401D">
      <w:pPr>
        <w:pStyle w:val="ListParagraph"/>
        <w:numPr>
          <w:ilvl w:val="0"/>
          <w:numId w:val="2"/>
        </w:numPr>
      </w:pPr>
      <w:r>
        <w:t xml:space="preserve">28:10: Ginsburg comments that the women-in-military case “came to the court too soon.” In other words, the Court was not yet prepared to rule </w:t>
      </w:r>
      <w:r w:rsidR="008B457D">
        <w:t xml:space="preserve">for </w:t>
      </w:r>
      <w:r>
        <w:t>women. Ginsburg prefers pushing for changes in the law incrementally and slowly to give the public and the courts time to catch up. We will revisit this very Ginsburg</w:t>
      </w:r>
      <w:r w:rsidR="002B2439">
        <w:t>-</w:t>
      </w:r>
      <w:r>
        <w:t xml:space="preserve">style of </w:t>
      </w:r>
      <w:r w:rsidR="005B5457">
        <w:t>critique</w:t>
      </w:r>
      <w:r>
        <w:t xml:space="preserve"> in an article by her that we will read for Module 11.</w:t>
      </w:r>
    </w:p>
    <w:p w14:paraId="1E634297" w14:textId="77777777" w:rsidR="00E74637" w:rsidRDefault="00E74637" w:rsidP="002B401D">
      <w:pPr>
        <w:pStyle w:val="ListParagraph"/>
        <w:numPr>
          <w:ilvl w:val="0"/>
          <w:numId w:val="2"/>
        </w:numPr>
      </w:pPr>
      <w:r>
        <w:t xml:space="preserve">30:20: “Law exists to serve the society, so how can you not think about what </w:t>
      </w:r>
      <w:proofErr w:type="gramStart"/>
      <w:r>
        <w:t>is the impact on people of the Court’s decisions</w:t>
      </w:r>
      <w:proofErr w:type="gramEnd"/>
      <w:r>
        <w:t>?”</w:t>
      </w:r>
    </w:p>
    <w:p w14:paraId="60FE5765" w14:textId="77777777" w:rsidR="00E74637" w:rsidRDefault="00E74637" w:rsidP="002B401D">
      <w:pPr>
        <w:pStyle w:val="ListParagraph"/>
        <w:numPr>
          <w:ilvl w:val="0"/>
          <w:numId w:val="2"/>
        </w:numPr>
      </w:pPr>
      <w:r>
        <w:t>31:20: “What do I do? I have no talent in the kitchen at all.”</w:t>
      </w:r>
    </w:p>
    <w:p w14:paraId="186BB4E8" w14:textId="77777777" w:rsidR="00E74637" w:rsidRDefault="00E74637" w:rsidP="002B401D">
      <w:pPr>
        <w:pStyle w:val="ListParagraph"/>
        <w:numPr>
          <w:ilvl w:val="0"/>
          <w:numId w:val="2"/>
        </w:numPr>
      </w:pPr>
      <w:r>
        <w:t>33:35: “He said, I didn’t want to be upstaged by the women.”</w:t>
      </w:r>
    </w:p>
    <w:p w14:paraId="7707DB61" w14:textId="77777777" w:rsidR="00E74637" w:rsidRDefault="00E74637" w:rsidP="002B401D">
      <w:pPr>
        <w:pStyle w:val="ListParagraph"/>
        <w:numPr>
          <w:ilvl w:val="0"/>
          <w:numId w:val="2"/>
        </w:numPr>
      </w:pPr>
      <w:r>
        <w:t>34:15: The future of the Court’s famous collegiality.</w:t>
      </w:r>
    </w:p>
    <w:p w14:paraId="037813CD" w14:textId="16D7DA4B" w:rsidR="00E74637" w:rsidRDefault="00E74637" w:rsidP="002B401D">
      <w:pPr>
        <w:pStyle w:val="ListParagraph"/>
        <w:numPr>
          <w:ilvl w:val="0"/>
          <w:numId w:val="2"/>
        </w:numPr>
      </w:pPr>
      <w:r>
        <w:t xml:space="preserve">35:16: In </w:t>
      </w:r>
      <w:r w:rsidRPr="0061797B">
        <w:rPr>
          <w:i/>
          <w:iCs/>
        </w:rPr>
        <w:t>Ledbetter v. Goodyear</w:t>
      </w:r>
      <w:r>
        <w:t xml:space="preserve"> (2007), the Court ruled that the petitioner, Lilly Ledbetter, could not bring a salary discrimination claim against her employer because the employer’s original discriminatory salary decision </w:t>
      </w:r>
      <w:r w:rsidR="00387FA5">
        <w:t>had been made</w:t>
      </w:r>
      <w:r>
        <w:t xml:space="preserve"> outside Title VII’s 180-day statutory </w:t>
      </w:r>
      <w:r w:rsidR="00213BCC">
        <w:t>limitation</w:t>
      </w:r>
      <w:r>
        <w:t xml:space="preserve"> period</w:t>
      </w:r>
      <w:r w:rsidR="00AD2F90">
        <w:t>—</w:t>
      </w:r>
      <w:r>
        <w:t xml:space="preserve">even though </w:t>
      </w:r>
      <w:r w:rsidR="0023439D">
        <w:t xml:space="preserve">Ms. </w:t>
      </w:r>
      <w:r w:rsidR="001C1A92">
        <w:t xml:space="preserve">Ledbetter </w:t>
      </w:r>
      <w:r>
        <w:t xml:space="preserve">continued to receive discriminatory paychecks within </w:t>
      </w:r>
      <w:r w:rsidR="001C1A92">
        <w:t>that</w:t>
      </w:r>
      <w:r>
        <w:t xml:space="preserve"> 180-day period. In her dissent, Justice Ginsburg called for Congress to overrule the Court because “</w:t>
      </w:r>
      <w:r w:rsidRPr="00994B34">
        <w:t xml:space="preserve">the </w:t>
      </w:r>
      <w:r>
        <w:t>C</w:t>
      </w:r>
      <w:r w:rsidRPr="00994B34">
        <w:t>ourt does not comprehend or is indifferent to the insidious way in which women can be victims of pay discriminations</w:t>
      </w:r>
      <w:r>
        <w:t xml:space="preserve">.” Congress answered the call with the Lilly Ledbetter Fair Pay Act of 2009, the first piece of legislation signed into law by </w:t>
      </w:r>
      <w:r w:rsidR="008B457D">
        <w:t>a</w:t>
      </w:r>
      <w:r>
        <w:t xml:space="preserve"> </w:t>
      </w:r>
      <w:proofErr w:type="gramStart"/>
      <w:r>
        <w:t>newly-elected</w:t>
      </w:r>
      <w:proofErr w:type="gramEnd"/>
      <w:r>
        <w:t xml:space="preserve"> </w:t>
      </w:r>
      <w:r w:rsidR="008B457D">
        <w:t xml:space="preserve">President </w:t>
      </w:r>
      <w:r>
        <w:t xml:space="preserve">Obama. Here is a link to the audio recording of Ginsburg’s dissent from the bench: </w:t>
      </w:r>
      <w:hyperlink r:id="rId9" w:history="1">
        <w:r w:rsidRPr="00764757">
          <w:rPr>
            <w:rStyle w:val="Hyperlink"/>
          </w:rPr>
          <w:t>https://www.oyez.org/cases/2006/05-1074</w:t>
        </w:r>
      </w:hyperlink>
      <w:r>
        <w:t xml:space="preserve"> (under “Opinion Announcement”).</w:t>
      </w:r>
    </w:p>
    <w:p w14:paraId="309C40D1" w14:textId="7116B60F" w:rsidR="00E74637" w:rsidRDefault="00E74637" w:rsidP="002B401D">
      <w:pPr>
        <w:pStyle w:val="ListParagraph"/>
        <w:numPr>
          <w:ilvl w:val="0"/>
          <w:numId w:val="0"/>
        </w:numPr>
        <w:ind w:left="864"/>
      </w:pPr>
      <w:r>
        <w:t xml:space="preserve">In </w:t>
      </w:r>
      <w:r w:rsidRPr="00A534F5">
        <w:rPr>
          <w:i/>
          <w:iCs/>
        </w:rPr>
        <w:t>Gonzales v. Carhart</w:t>
      </w:r>
      <w:r>
        <w:t xml:space="preserve"> (2007), the Court upheld the constitutionality of the </w:t>
      </w:r>
      <w:r w:rsidRPr="00994B34">
        <w:t>Partial-Birth Abortion Ban Act of 2003</w:t>
      </w:r>
      <w:r w:rsidR="00DA71EB">
        <w:t>, a law that</w:t>
      </w:r>
      <w:r>
        <w:t xml:space="preserve"> prohibited</w:t>
      </w:r>
      <w:r w:rsidR="00C5159E">
        <w:t xml:space="preserve"> so-called</w:t>
      </w:r>
      <w:r>
        <w:t xml:space="preserve"> </w:t>
      </w:r>
      <w:r w:rsidRPr="00994B34">
        <w:t>partial-birth abortion</w:t>
      </w:r>
      <w:r>
        <w:t xml:space="preserve"> (a political </w:t>
      </w:r>
      <w:r w:rsidR="00DA71EB">
        <w:t>concept</w:t>
      </w:r>
      <w:r>
        <w:t xml:space="preserve">, not a medical </w:t>
      </w:r>
      <w:r w:rsidR="00DA71EB">
        <w:t>concept</w:t>
      </w:r>
      <w:r>
        <w:t>) and failed to provide an exception for situations where the pregnant person’s health is at stake. Ginsburg commented from the bench that “[a]</w:t>
      </w:r>
      <w:r w:rsidRPr="00994B34">
        <w:t xml:space="preserve"> decision of the character the Court makes today should not have staying power.</w:t>
      </w:r>
      <w:r>
        <w:t xml:space="preserve">” </w:t>
      </w:r>
      <w:r w:rsidR="00C5159E">
        <w:t>T</w:t>
      </w:r>
      <w:r>
        <w:t xml:space="preserve">he audio </w:t>
      </w:r>
      <w:r w:rsidR="00C5159E">
        <w:t xml:space="preserve">is available </w:t>
      </w:r>
      <w:r>
        <w:t xml:space="preserve">here: </w:t>
      </w:r>
      <w:hyperlink r:id="rId10" w:history="1">
        <w:r w:rsidRPr="00764757">
          <w:rPr>
            <w:rStyle w:val="Hyperlink"/>
          </w:rPr>
          <w:t>https://www.oyez.org/cases/2006/05-380</w:t>
        </w:r>
      </w:hyperlink>
      <w:r>
        <w:t>.</w:t>
      </w:r>
    </w:p>
    <w:p w14:paraId="756F653E" w14:textId="77777777" w:rsidR="00E74637" w:rsidRDefault="00E74637" w:rsidP="002B401D">
      <w:pPr>
        <w:pStyle w:val="ListParagraph"/>
        <w:numPr>
          <w:ilvl w:val="0"/>
          <w:numId w:val="2"/>
        </w:numPr>
      </w:pPr>
      <w:r>
        <w:t>36:50: The influence of positive morality (society’s actual opinions on what is and is not morally permissible at the time) on the Court’s decisions.</w:t>
      </w:r>
    </w:p>
    <w:p w14:paraId="49710BB2" w14:textId="31D1FDC5" w:rsidR="00A95ED1" w:rsidRPr="00D45BF2" w:rsidRDefault="00E74637" w:rsidP="00546721">
      <w:pPr>
        <w:pStyle w:val="ListParagraph"/>
        <w:numPr>
          <w:ilvl w:val="0"/>
          <w:numId w:val="2"/>
        </w:numPr>
      </w:pPr>
      <w:r>
        <w:t>37:08: You can skip the public Q&amp;A.</w:t>
      </w:r>
    </w:p>
    <w:sectPr w:rsidR="00A95ED1" w:rsidRPr="00D45BF2" w:rsidSect="001601BA">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7E37" w14:textId="77777777" w:rsidR="00015FEC" w:rsidRDefault="00015FEC" w:rsidP="005370D4">
      <w:r>
        <w:separator/>
      </w:r>
    </w:p>
  </w:endnote>
  <w:endnote w:type="continuationSeparator" w:id="0">
    <w:p w14:paraId="197901C8" w14:textId="77777777" w:rsidR="00015FEC" w:rsidRDefault="00015FEC"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B984" w14:textId="77777777" w:rsidR="00015FEC" w:rsidRDefault="00015FEC" w:rsidP="005370D4">
      <w:r>
        <w:separator/>
      </w:r>
    </w:p>
  </w:footnote>
  <w:footnote w:type="continuationSeparator" w:id="0">
    <w:p w14:paraId="03463EBA" w14:textId="77777777" w:rsidR="00015FEC" w:rsidRDefault="00015FEC"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1B4"/>
    <w:multiLevelType w:val="multilevel"/>
    <w:tmpl w:val="8F5EA6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D19B1"/>
    <w:multiLevelType w:val="multilevel"/>
    <w:tmpl w:val="211204CA"/>
    <w:styleLink w:val="CurrentList3"/>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2E0C54"/>
    <w:multiLevelType w:val="hybridMultilevel"/>
    <w:tmpl w:val="231A02C2"/>
    <w:lvl w:ilvl="0" w:tplc="20361490">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F6A7D"/>
    <w:multiLevelType w:val="hybridMultilevel"/>
    <w:tmpl w:val="6DD2AD64"/>
    <w:lvl w:ilvl="0" w:tplc="565EB3A0">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55865"/>
    <w:multiLevelType w:val="multilevel"/>
    <w:tmpl w:val="8F5EA6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6893359">
    <w:abstractNumId w:val="3"/>
  </w:num>
  <w:num w:numId="2" w16cid:durableId="1118915996">
    <w:abstractNumId w:val="2"/>
  </w:num>
  <w:num w:numId="3" w16cid:durableId="1861582185">
    <w:abstractNumId w:val="0"/>
  </w:num>
  <w:num w:numId="4" w16cid:durableId="1373385246">
    <w:abstractNumId w:val="3"/>
  </w:num>
  <w:num w:numId="5" w16cid:durableId="849681697">
    <w:abstractNumId w:val="3"/>
  </w:num>
  <w:num w:numId="6" w16cid:durableId="382099657">
    <w:abstractNumId w:val="3"/>
  </w:num>
  <w:num w:numId="7" w16cid:durableId="1922252183">
    <w:abstractNumId w:val="3"/>
  </w:num>
  <w:num w:numId="8" w16cid:durableId="855119707">
    <w:abstractNumId w:val="3"/>
  </w:num>
  <w:num w:numId="9" w16cid:durableId="1023674940">
    <w:abstractNumId w:val="3"/>
  </w:num>
  <w:num w:numId="10" w16cid:durableId="1134102038">
    <w:abstractNumId w:val="3"/>
  </w:num>
  <w:num w:numId="11" w16cid:durableId="1682512282">
    <w:abstractNumId w:val="3"/>
  </w:num>
  <w:num w:numId="12" w16cid:durableId="413087444">
    <w:abstractNumId w:val="3"/>
  </w:num>
  <w:num w:numId="13" w16cid:durableId="481506101">
    <w:abstractNumId w:val="3"/>
  </w:num>
  <w:num w:numId="14" w16cid:durableId="509760800">
    <w:abstractNumId w:val="3"/>
  </w:num>
  <w:num w:numId="15" w16cid:durableId="1057780042">
    <w:abstractNumId w:val="3"/>
  </w:num>
  <w:num w:numId="16" w16cid:durableId="1404180420">
    <w:abstractNumId w:val="3"/>
  </w:num>
  <w:num w:numId="17" w16cid:durableId="1417284005">
    <w:abstractNumId w:val="3"/>
  </w:num>
  <w:num w:numId="18" w16cid:durableId="1989942188">
    <w:abstractNumId w:val="3"/>
  </w:num>
  <w:num w:numId="19" w16cid:durableId="566379225">
    <w:abstractNumId w:val="3"/>
  </w:num>
  <w:num w:numId="20" w16cid:durableId="1491095746">
    <w:abstractNumId w:val="3"/>
  </w:num>
  <w:num w:numId="21" w16cid:durableId="1519931080">
    <w:abstractNumId w:val="3"/>
  </w:num>
  <w:num w:numId="22" w16cid:durableId="1040739816">
    <w:abstractNumId w:val="3"/>
  </w:num>
  <w:num w:numId="23" w16cid:durableId="461927581">
    <w:abstractNumId w:val="3"/>
  </w:num>
  <w:num w:numId="24" w16cid:durableId="1759399185">
    <w:abstractNumId w:val="3"/>
  </w:num>
  <w:num w:numId="25" w16cid:durableId="1827549447">
    <w:abstractNumId w:val="3"/>
  </w:num>
  <w:num w:numId="26" w16cid:durableId="1706563439">
    <w:abstractNumId w:val="3"/>
  </w:num>
  <w:num w:numId="27" w16cid:durableId="274293498">
    <w:abstractNumId w:val="3"/>
  </w:num>
  <w:num w:numId="28" w16cid:durableId="282267608">
    <w:abstractNumId w:val="3"/>
  </w:num>
  <w:num w:numId="29" w16cid:durableId="1562398267">
    <w:abstractNumId w:val="3"/>
  </w:num>
  <w:num w:numId="30" w16cid:durableId="1144084948">
    <w:abstractNumId w:val="3"/>
  </w:num>
  <w:num w:numId="31" w16cid:durableId="1373575564">
    <w:abstractNumId w:val="3"/>
  </w:num>
  <w:num w:numId="32" w16cid:durableId="920795835">
    <w:abstractNumId w:val="3"/>
  </w:num>
  <w:num w:numId="33" w16cid:durableId="497118168">
    <w:abstractNumId w:val="3"/>
  </w:num>
  <w:num w:numId="34" w16cid:durableId="879441689">
    <w:abstractNumId w:val="3"/>
  </w:num>
  <w:num w:numId="35" w16cid:durableId="1823422561">
    <w:abstractNumId w:val="3"/>
  </w:num>
  <w:num w:numId="36" w16cid:durableId="921643860">
    <w:abstractNumId w:val="3"/>
  </w:num>
  <w:num w:numId="37" w16cid:durableId="1518812439">
    <w:abstractNumId w:val="3"/>
  </w:num>
  <w:num w:numId="38" w16cid:durableId="1751152084">
    <w:abstractNumId w:val="3"/>
  </w:num>
  <w:num w:numId="39" w16cid:durableId="1831869613">
    <w:abstractNumId w:val="4"/>
  </w:num>
  <w:num w:numId="40" w16cid:durableId="136362906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0546E"/>
    <w:rsid w:val="00010CDE"/>
    <w:rsid w:val="00015FEC"/>
    <w:rsid w:val="000165C4"/>
    <w:rsid w:val="00020A88"/>
    <w:rsid w:val="00030BF7"/>
    <w:rsid w:val="0003134D"/>
    <w:rsid w:val="000318EC"/>
    <w:rsid w:val="00042E51"/>
    <w:rsid w:val="00044043"/>
    <w:rsid w:val="0005415D"/>
    <w:rsid w:val="00064580"/>
    <w:rsid w:val="000666CB"/>
    <w:rsid w:val="000803E3"/>
    <w:rsid w:val="000900F3"/>
    <w:rsid w:val="00097D05"/>
    <w:rsid w:val="000A4245"/>
    <w:rsid w:val="000B6396"/>
    <w:rsid w:val="000B7D91"/>
    <w:rsid w:val="000C446B"/>
    <w:rsid w:val="000D3F4F"/>
    <w:rsid w:val="000D5057"/>
    <w:rsid w:val="000D6374"/>
    <w:rsid w:val="000D7574"/>
    <w:rsid w:val="000E2CF4"/>
    <w:rsid w:val="000E43F9"/>
    <w:rsid w:val="00102A5A"/>
    <w:rsid w:val="00104388"/>
    <w:rsid w:val="00112522"/>
    <w:rsid w:val="001168D2"/>
    <w:rsid w:val="00123502"/>
    <w:rsid w:val="001244D7"/>
    <w:rsid w:val="00125401"/>
    <w:rsid w:val="00126503"/>
    <w:rsid w:val="001272AF"/>
    <w:rsid w:val="00127344"/>
    <w:rsid w:val="00130E28"/>
    <w:rsid w:val="001406FE"/>
    <w:rsid w:val="001452D3"/>
    <w:rsid w:val="00146C23"/>
    <w:rsid w:val="0014783A"/>
    <w:rsid w:val="00153C16"/>
    <w:rsid w:val="00153FEF"/>
    <w:rsid w:val="001546E8"/>
    <w:rsid w:val="00156699"/>
    <w:rsid w:val="001601BA"/>
    <w:rsid w:val="00160E73"/>
    <w:rsid w:val="00161452"/>
    <w:rsid w:val="00164D93"/>
    <w:rsid w:val="00166137"/>
    <w:rsid w:val="00177BA8"/>
    <w:rsid w:val="00181D9A"/>
    <w:rsid w:val="00183A9C"/>
    <w:rsid w:val="00185BE3"/>
    <w:rsid w:val="001A2E8F"/>
    <w:rsid w:val="001A5008"/>
    <w:rsid w:val="001A78E4"/>
    <w:rsid w:val="001B485A"/>
    <w:rsid w:val="001B6549"/>
    <w:rsid w:val="001B781C"/>
    <w:rsid w:val="001C0247"/>
    <w:rsid w:val="001C1A92"/>
    <w:rsid w:val="001C2E25"/>
    <w:rsid w:val="001C3FA3"/>
    <w:rsid w:val="001C7C4A"/>
    <w:rsid w:val="001D26CB"/>
    <w:rsid w:val="001E1AAF"/>
    <w:rsid w:val="001F1275"/>
    <w:rsid w:val="00202E3A"/>
    <w:rsid w:val="00212A5D"/>
    <w:rsid w:val="00213BCC"/>
    <w:rsid w:val="00217A1B"/>
    <w:rsid w:val="00220519"/>
    <w:rsid w:val="002208C4"/>
    <w:rsid w:val="00220C70"/>
    <w:rsid w:val="002307D9"/>
    <w:rsid w:val="00230CC5"/>
    <w:rsid w:val="00233AB8"/>
    <w:rsid w:val="0023439D"/>
    <w:rsid w:val="0024240E"/>
    <w:rsid w:val="002435DE"/>
    <w:rsid w:val="00257302"/>
    <w:rsid w:val="0026039A"/>
    <w:rsid w:val="002709A8"/>
    <w:rsid w:val="00274269"/>
    <w:rsid w:val="00276C85"/>
    <w:rsid w:val="00282A3B"/>
    <w:rsid w:val="00284EA0"/>
    <w:rsid w:val="00287179"/>
    <w:rsid w:val="002906E9"/>
    <w:rsid w:val="00292F45"/>
    <w:rsid w:val="00294692"/>
    <w:rsid w:val="002A22FD"/>
    <w:rsid w:val="002A38FD"/>
    <w:rsid w:val="002A6DDB"/>
    <w:rsid w:val="002A7AD6"/>
    <w:rsid w:val="002B2439"/>
    <w:rsid w:val="002B401D"/>
    <w:rsid w:val="002B7347"/>
    <w:rsid w:val="002C2113"/>
    <w:rsid w:val="002C5B2E"/>
    <w:rsid w:val="002C5D8B"/>
    <w:rsid w:val="002C7E5D"/>
    <w:rsid w:val="002D7B42"/>
    <w:rsid w:val="002F1545"/>
    <w:rsid w:val="002F1582"/>
    <w:rsid w:val="002F7F3A"/>
    <w:rsid w:val="0030086D"/>
    <w:rsid w:val="003015FB"/>
    <w:rsid w:val="00303689"/>
    <w:rsid w:val="0030380C"/>
    <w:rsid w:val="00304CB7"/>
    <w:rsid w:val="00305AE0"/>
    <w:rsid w:val="00306C84"/>
    <w:rsid w:val="00311049"/>
    <w:rsid w:val="003127BE"/>
    <w:rsid w:val="00312903"/>
    <w:rsid w:val="003136CF"/>
    <w:rsid w:val="003218E7"/>
    <w:rsid w:val="00322D3E"/>
    <w:rsid w:val="003239B0"/>
    <w:rsid w:val="00336EA6"/>
    <w:rsid w:val="0034399C"/>
    <w:rsid w:val="00345528"/>
    <w:rsid w:val="00364A23"/>
    <w:rsid w:val="00372958"/>
    <w:rsid w:val="00380EAE"/>
    <w:rsid w:val="00383B56"/>
    <w:rsid w:val="00387B93"/>
    <w:rsid w:val="00387FA5"/>
    <w:rsid w:val="003940D0"/>
    <w:rsid w:val="003944BD"/>
    <w:rsid w:val="003960B2"/>
    <w:rsid w:val="0039754B"/>
    <w:rsid w:val="003A17B9"/>
    <w:rsid w:val="003A3822"/>
    <w:rsid w:val="003C14C1"/>
    <w:rsid w:val="003C6A21"/>
    <w:rsid w:val="003C7828"/>
    <w:rsid w:val="003D435F"/>
    <w:rsid w:val="003D4E70"/>
    <w:rsid w:val="003E1C0F"/>
    <w:rsid w:val="003E2500"/>
    <w:rsid w:val="003E53EA"/>
    <w:rsid w:val="003E6329"/>
    <w:rsid w:val="003E6EA8"/>
    <w:rsid w:val="003F1563"/>
    <w:rsid w:val="003F18C1"/>
    <w:rsid w:val="003F55C2"/>
    <w:rsid w:val="003F6C03"/>
    <w:rsid w:val="00400303"/>
    <w:rsid w:val="004008F2"/>
    <w:rsid w:val="004016A6"/>
    <w:rsid w:val="00411389"/>
    <w:rsid w:val="004144BC"/>
    <w:rsid w:val="004168E5"/>
    <w:rsid w:val="00417038"/>
    <w:rsid w:val="00417CB2"/>
    <w:rsid w:val="00435747"/>
    <w:rsid w:val="00435D6B"/>
    <w:rsid w:val="004511E5"/>
    <w:rsid w:val="00452255"/>
    <w:rsid w:val="0045248D"/>
    <w:rsid w:val="00452A0D"/>
    <w:rsid w:val="0046141A"/>
    <w:rsid w:val="00467B7F"/>
    <w:rsid w:val="004715D7"/>
    <w:rsid w:val="00473BB0"/>
    <w:rsid w:val="00476E84"/>
    <w:rsid w:val="00477FBC"/>
    <w:rsid w:val="0048299C"/>
    <w:rsid w:val="00492D39"/>
    <w:rsid w:val="00497256"/>
    <w:rsid w:val="004A0789"/>
    <w:rsid w:val="004A6A2B"/>
    <w:rsid w:val="004A7E63"/>
    <w:rsid w:val="004B78F0"/>
    <w:rsid w:val="004C09C1"/>
    <w:rsid w:val="004C1349"/>
    <w:rsid w:val="004C19CF"/>
    <w:rsid w:val="004D135F"/>
    <w:rsid w:val="004E614C"/>
    <w:rsid w:val="005067DE"/>
    <w:rsid w:val="00510551"/>
    <w:rsid w:val="005143E9"/>
    <w:rsid w:val="00525B8D"/>
    <w:rsid w:val="00527ED7"/>
    <w:rsid w:val="00530338"/>
    <w:rsid w:val="005367FC"/>
    <w:rsid w:val="005370D4"/>
    <w:rsid w:val="00543DE3"/>
    <w:rsid w:val="005447C5"/>
    <w:rsid w:val="005473F3"/>
    <w:rsid w:val="005475A8"/>
    <w:rsid w:val="005501EF"/>
    <w:rsid w:val="00552C30"/>
    <w:rsid w:val="00552FA1"/>
    <w:rsid w:val="005577A6"/>
    <w:rsid w:val="005577D9"/>
    <w:rsid w:val="0056423A"/>
    <w:rsid w:val="0056591A"/>
    <w:rsid w:val="00571244"/>
    <w:rsid w:val="00581373"/>
    <w:rsid w:val="0058204B"/>
    <w:rsid w:val="00582FE2"/>
    <w:rsid w:val="00583343"/>
    <w:rsid w:val="0058369B"/>
    <w:rsid w:val="00587FD0"/>
    <w:rsid w:val="0059671D"/>
    <w:rsid w:val="005A085E"/>
    <w:rsid w:val="005A5A3F"/>
    <w:rsid w:val="005B5457"/>
    <w:rsid w:val="005C2C49"/>
    <w:rsid w:val="005C72ED"/>
    <w:rsid w:val="005C794E"/>
    <w:rsid w:val="005E477E"/>
    <w:rsid w:val="005E5CD8"/>
    <w:rsid w:val="005F3203"/>
    <w:rsid w:val="005F60C1"/>
    <w:rsid w:val="006013EA"/>
    <w:rsid w:val="006068B2"/>
    <w:rsid w:val="00607265"/>
    <w:rsid w:val="00610C0F"/>
    <w:rsid w:val="00611BE1"/>
    <w:rsid w:val="006120BF"/>
    <w:rsid w:val="006151B4"/>
    <w:rsid w:val="006173D5"/>
    <w:rsid w:val="00623062"/>
    <w:rsid w:val="006243CB"/>
    <w:rsid w:val="0064022B"/>
    <w:rsid w:val="00640375"/>
    <w:rsid w:val="0064518C"/>
    <w:rsid w:val="00645323"/>
    <w:rsid w:val="00646B6D"/>
    <w:rsid w:val="0065486C"/>
    <w:rsid w:val="00655693"/>
    <w:rsid w:val="00657143"/>
    <w:rsid w:val="00663FDE"/>
    <w:rsid w:val="0067105D"/>
    <w:rsid w:val="006766D8"/>
    <w:rsid w:val="00687B6B"/>
    <w:rsid w:val="0069052C"/>
    <w:rsid w:val="0069563C"/>
    <w:rsid w:val="006A0B03"/>
    <w:rsid w:val="006A0C77"/>
    <w:rsid w:val="006A2477"/>
    <w:rsid w:val="006A66F7"/>
    <w:rsid w:val="006A6A1D"/>
    <w:rsid w:val="006B2046"/>
    <w:rsid w:val="006B2480"/>
    <w:rsid w:val="006B33F2"/>
    <w:rsid w:val="006B48FD"/>
    <w:rsid w:val="006B6D51"/>
    <w:rsid w:val="006C1947"/>
    <w:rsid w:val="006C401E"/>
    <w:rsid w:val="006C42F1"/>
    <w:rsid w:val="006C5EC3"/>
    <w:rsid w:val="006D0934"/>
    <w:rsid w:val="006D0B3E"/>
    <w:rsid w:val="006D502F"/>
    <w:rsid w:val="006E7185"/>
    <w:rsid w:val="006F1F43"/>
    <w:rsid w:val="006F3468"/>
    <w:rsid w:val="006F5AAA"/>
    <w:rsid w:val="00702C7F"/>
    <w:rsid w:val="007041C5"/>
    <w:rsid w:val="0070655C"/>
    <w:rsid w:val="00710F3C"/>
    <w:rsid w:val="0071350D"/>
    <w:rsid w:val="00716ACC"/>
    <w:rsid w:val="0071744E"/>
    <w:rsid w:val="00726854"/>
    <w:rsid w:val="0073189C"/>
    <w:rsid w:val="00740FD7"/>
    <w:rsid w:val="00762F74"/>
    <w:rsid w:val="0076434D"/>
    <w:rsid w:val="007646AC"/>
    <w:rsid w:val="007807EE"/>
    <w:rsid w:val="00783187"/>
    <w:rsid w:val="00784268"/>
    <w:rsid w:val="007852CA"/>
    <w:rsid w:val="00791062"/>
    <w:rsid w:val="00792997"/>
    <w:rsid w:val="00795415"/>
    <w:rsid w:val="00795EB7"/>
    <w:rsid w:val="007A6E33"/>
    <w:rsid w:val="007D0C1D"/>
    <w:rsid w:val="007D410E"/>
    <w:rsid w:val="007D5438"/>
    <w:rsid w:val="007D61D8"/>
    <w:rsid w:val="007E3200"/>
    <w:rsid w:val="007E43E9"/>
    <w:rsid w:val="007E6B84"/>
    <w:rsid w:val="007F0DC7"/>
    <w:rsid w:val="007F15F6"/>
    <w:rsid w:val="007F288A"/>
    <w:rsid w:val="00803503"/>
    <w:rsid w:val="00824961"/>
    <w:rsid w:val="00825B53"/>
    <w:rsid w:val="00831FEE"/>
    <w:rsid w:val="00833686"/>
    <w:rsid w:val="008353DD"/>
    <w:rsid w:val="00836EEA"/>
    <w:rsid w:val="00840EDC"/>
    <w:rsid w:val="00850D86"/>
    <w:rsid w:val="0085105C"/>
    <w:rsid w:val="00851C1A"/>
    <w:rsid w:val="00855B94"/>
    <w:rsid w:val="00855D5E"/>
    <w:rsid w:val="00860340"/>
    <w:rsid w:val="008913DA"/>
    <w:rsid w:val="00891892"/>
    <w:rsid w:val="00893DFC"/>
    <w:rsid w:val="00897051"/>
    <w:rsid w:val="008A221E"/>
    <w:rsid w:val="008B173F"/>
    <w:rsid w:val="008B1BD8"/>
    <w:rsid w:val="008B457D"/>
    <w:rsid w:val="008B4E91"/>
    <w:rsid w:val="008B6A5F"/>
    <w:rsid w:val="008C0501"/>
    <w:rsid w:val="008C1427"/>
    <w:rsid w:val="008C1F38"/>
    <w:rsid w:val="008C2232"/>
    <w:rsid w:val="008C2DF2"/>
    <w:rsid w:val="008C39B3"/>
    <w:rsid w:val="008D1472"/>
    <w:rsid w:val="008D4963"/>
    <w:rsid w:val="008D4E68"/>
    <w:rsid w:val="008E58C6"/>
    <w:rsid w:val="009047CC"/>
    <w:rsid w:val="00906CBD"/>
    <w:rsid w:val="00915A1D"/>
    <w:rsid w:val="00926029"/>
    <w:rsid w:val="00931290"/>
    <w:rsid w:val="0093356A"/>
    <w:rsid w:val="0093518D"/>
    <w:rsid w:val="00940CD0"/>
    <w:rsid w:val="009436A0"/>
    <w:rsid w:val="00943966"/>
    <w:rsid w:val="00955E79"/>
    <w:rsid w:val="00956BF5"/>
    <w:rsid w:val="009700EF"/>
    <w:rsid w:val="009739EA"/>
    <w:rsid w:val="00982DC1"/>
    <w:rsid w:val="00982DD0"/>
    <w:rsid w:val="009868D5"/>
    <w:rsid w:val="0098782B"/>
    <w:rsid w:val="00994523"/>
    <w:rsid w:val="00996775"/>
    <w:rsid w:val="009968BA"/>
    <w:rsid w:val="009A1403"/>
    <w:rsid w:val="009B23DE"/>
    <w:rsid w:val="009B7F99"/>
    <w:rsid w:val="009C1009"/>
    <w:rsid w:val="009C19CF"/>
    <w:rsid w:val="009C6719"/>
    <w:rsid w:val="009C6BA8"/>
    <w:rsid w:val="009D0D26"/>
    <w:rsid w:val="009D2C4C"/>
    <w:rsid w:val="009D2E0D"/>
    <w:rsid w:val="009E331B"/>
    <w:rsid w:val="009F1828"/>
    <w:rsid w:val="009F5EB9"/>
    <w:rsid w:val="00A07F73"/>
    <w:rsid w:val="00A1316F"/>
    <w:rsid w:val="00A15BD9"/>
    <w:rsid w:val="00A1718A"/>
    <w:rsid w:val="00A1733A"/>
    <w:rsid w:val="00A23395"/>
    <w:rsid w:val="00A23F33"/>
    <w:rsid w:val="00A255E0"/>
    <w:rsid w:val="00A25CEA"/>
    <w:rsid w:val="00A2799B"/>
    <w:rsid w:val="00A34F0B"/>
    <w:rsid w:val="00A4610C"/>
    <w:rsid w:val="00A47ADB"/>
    <w:rsid w:val="00A513A8"/>
    <w:rsid w:val="00A5410F"/>
    <w:rsid w:val="00A8179F"/>
    <w:rsid w:val="00A863C9"/>
    <w:rsid w:val="00A8690C"/>
    <w:rsid w:val="00A93807"/>
    <w:rsid w:val="00A941DC"/>
    <w:rsid w:val="00A95ED1"/>
    <w:rsid w:val="00AA5B20"/>
    <w:rsid w:val="00AB317E"/>
    <w:rsid w:val="00AB49BF"/>
    <w:rsid w:val="00AC18A9"/>
    <w:rsid w:val="00AC35F2"/>
    <w:rsid w:val="00AC485D"/>
    <w:rsid w:val="00AD206F"/>
    <w:rsid w:val="00AD2F90"/>
    <w:rsid w:val="00AE1501"/>
    <w:rsid w:val="00AE716B"/>
    <w:rsid w:val="00AF1E14"/>
    <w:rsid w:val="00AF54AD"/>
    <w:rsid w:val="00B12D5F"/>
    <w:rsid w:val="00B12E51"/>
    <w:rsid w:val="00B17477"/>
    <w:rsid w:val="00B224C9"/>
    <w:rsid w:val="00B30C41"/>
    <w:rsid w:val="00B338AB"/>
    <w:rsid w:val="00B3755B"/>
    <w:rsid w:val="00B37CA1"/>
    <w:rsid w:val="00B46CE6"/>
    <w:rsid w:val="00B67C93"/>
    <w:rsid w:val="00B708AE"/>
    <w:rsid w:val="00B72996"/>
    <w:rsid w:val="00B76B15"/>
    <w:rsid w:val="00B86B5A"/>
    <w:rsid w:val="00B87089"/>
    <w:rsid w:val="00B91B2B"/>
    <w:rsid w:val="00B94E98"/>
    <w:rsid w:val="00BA4C66"/>
    <w:rsid w:val="00BB0A87"/>
    <w:rsid w:val="00BB1658"/>
    <w:rsid w:val="00BC2FEB"/>
    <w:rsid w:val="00BE7EAF"/>
    <w:rsid w:val="00BF121A"/>
    <w:rsid w:val="00BF28AE"/>
    <w:rsid w:val="00C13DAE"/>
    <w:rsid w:val="00C144FF"/>
    <w:rsid w:val="00C14CFD"/>
    <w:rsid w:val="00C31B30"/>
    <w:rsid w:val="00C32730"/>
    <w:rsid w:val="00C345C7"/>
    <w:rsid w:val="00C42DEB"/>
    <w:rsid w:val="00C5159E"/>
    <w:rsid w:val="00C617CA"/>
    <w:rsid w:val="00C7324D"/>
    <w:rsid w:val="00C73E5D"/>
    <w:rsid w:val="00C77746"/>
    <w:rsid w:val="00C83D0A"/>
    <w:rsid w:val="00C849B6"/>
    <w:rsid w:val="00C858D5"/>
    <w:rsid w:val="00C91CC5"/>
    <w:rsid w:val="00C93139"/>
    <w:rsid w:val="00C93DB2"/>
    <w:rsid w:val="00CA0CCE"/>
    <w:rsid w:val="00CA4BAF"/>
    <w:rsid w:val="00CB27B2"/>
    <w:rsid w:val="00CC0043"/>
    <w:rsid w:val="00CC7743"/>
    <w:rsid w:val="00CD04B7"/>
    <w:rsid w:val="00CD0E85"/>
    <w:rsid w:val="00CD10A6"/>
    <w:rsid w:val="00CE22AF"/>
    <w:rsid w:val="00CE590B"/>
    <w:rsid w:val="00D03DA8"/>
    <w:rsid w:val="00D0554E"/>
    <w:rsid w:val="00D05869"/>
    <w:rsid w:val="00D10703"/>
    <w:rsid w:val="00D131C2"/>
    <w:rsid w:val="00D1340F"/>
    <w:rsid w:val="00D1345F"/>
    <w:rsid w:val="00D14903"/>
    <w:rsid w:val="00D34F85"/>
    <w:rsid w:val="00D3694A"/>
    <w:rsid w:val="00D42B8D"/>
    <w:rsid w:val="00D45BF2"/>
    <w:rsid w:val="00D45C1F"/>
    <w:rsid w:val="00D6301D"/>
    <w:rsid w:val="00D665ED"/>
    <w:rsid w:val="00D66CD2"/>
    <w:rsid w:val="00D70A12"/>
    <w:rsid w:val="00D76004"/>
    <w:rsid w:val="00D85FC4"/>
    <w:rsid w:val="00D91448"/>
    <w:rsid w:val="00D943E4"/>
    <w:rsid w:val="00D966C5"/>
    <w:rsid w:val="00DA011F"/>
    <w:rsid w:val="00DA71EB"/>
    <w:rsid w:val="00DA76A6"/>
    <w:rsid w:val="00DB14D3"/>
    <w:rsid w:val="00DB6FF0"/>
    <w:rsid w:val="00DC37F4"/>
    <w:rsid w:val="00DC5180"/>
    <w:rsid w:val="00DC7B44"/>
    <w:rsid w:val="00DD1CAE"/>
    <w:rsid w:val="00DD2087"/>
    <w:rsid w:val="00DD3FD2"/>
    <w:rsid w:val="00DE367F"/>
    <w:rsid w:val="00DE4BE3"/>
    <w:rsid w:val="00DE54D2"/>
    <w:rsid w:val="00DE7C35"/>
    <w:rsid w:val="00DF3865"/>
    <w:rsid w:val="00DF5CE8"/>
    <w:rsid w:val="00DF67B8"/>
    <w:rsid w:val="00E104C2"/>
    <w:rsid w:val="00E115C5"/>
    <w:rsid w:val="00E1322D"/>
    <w:rsid w:val="00E14630"/>
    <w:rsid w:val="00E1749F"/>
    <w:rsid w:val="00E23D25"/>
    <w:rsid w:val="00E34677"/>
    <w:rsid w:val="00E36A44"/>
    <w:rsid w:val="00E36C0D"/>
    <w:rsid w:val="00E412FC"/>
    <w:rsid w:val="00E46FE9"/>
    <w:rsid w:val="00E50490"/>
    <w:rsid w:val="00E50CA4"/>
    <w:rsid w:val="00E55D7A"/>
    <w:rsid w:val="00E6060D"/>
    <w:rsid w:val="00E67DA3"/>
    <w:rsid w:val="00E71922"/>
    <w:rsid w:val="00E74274"/>
    <w:rsid w:val="00E74637"/>
    <w:rsid w:val="00E8581D"/>
    <w:rsid w:val="00E920B0"/>
    <w:rsid w:val="00E94833"/>
    <w:rsid w:val="00E95F8B"/>
    <w:rsid w:val="00E96145"/>
    <w:rsid w:val="00EA1742"/>
    <w:rsid w:val="00EA4992"/>
    <w:rsid w:val="00EA61AF"/>
    <w:rsid w:val="00EB3801"/>
    <w:rsid w:val="00EB5486"/>
    <w:rsid w:val="00EC1BE2"/>
    <w:rsid w:val="00EE038F"/>
    <w:rsid w:val="00EE171F"/>
    <w:rsid w:val="00EE5F1C"/>
    <w:rsid w:val="00EF39B1"/>
    <w:rsid w:val="00F01CE0"/>
    <w:rsid w:val="00F11A82"/>
    <w:rsid w:val="00F12D32"/>
    <w:rsid w:val="00F1688A"/>
    <w:rsid w:val="00F2686B"/>
    <w:rsid w:val="00F272CC"/>
    <w:rsid w:val="00F355E2"/>
    <w:rsid w:val="00F3698F"/>
    <w:rsid w:val="00F402DD"/>
    <w:rsid w:val="00F4180D"/>
    <w:rsid w:val="00F44DF1"/>
    <w:rsid w:val="00F459DD"/>
    <w:rsid w:val="00F624A2"/>
    <w:rsid w:val="00F62643"/>
    <w:rsid w:val="00F771D1"/>
    <w:rsid w:val="00F80AE6"/>
    <w:rsid w:val="00F9509B"/>
    <w:rsid w:val="00F950BD"/>
    <w:rsid w:val="00FA2626"/>
    <w:rsid w:val="00FA3EE7"/>
    <w:rsid w:val="00FB2247"/>
    <w:rsid w:val="00FD2FAA"/>
    <w:rsid w:val="00FD3DB3"/>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33"/>
    <w:pPr>
      <w:spacing w:line="240" w:lineRule="auto"/>
    </w:pPr>
    <w:rPr>
      <w:rFonts w:ascii="Century Schoolbook" w:eastAsia="Times New Roman" w:hAnsi="Century Schoolbook" w:cs="Times New Roman"/>
      <w:sz w:val="22"/>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D70A12"/>
    <w:pPr>
      <w:keepNext/>
      <w:keepLines/>
      <w:spacing w:before="360" w:after="360"/>
      <w:jc w:val="left"/>
      <w:outlineLvl w:val="1"/>
    </w:pPr>
    <w:rPr>
      <w:rFonts w:eastAsiaTheme="majorEastAsia" w:cstheme="majorBidi"/>
      <w:i/>
      <w:iCs/>
      <w:szCs w:val="26"/>
    </w:rPr>
  </w:style>
  <w:style w:type="paragraph" w:styleId="Heading3">
    <w:name w:val="heading 3"/>
    <w:basedOn w:val="Heading2"/>
    <w:next w:val="Normal"/>
    <w:link w:val="Heading3Char"/>
    <w:uiPriority w:val="9"/>
    <w:unhideWhenUsed/>
    <w:qFormat/>
    <w:rsid w:val="008D4963"/>
    <w:pPr>
      <w:outlineLvl w:val="2"/>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1"/>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D76004"/>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D76004"/>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8D4963"/>
    <w:rPr>
      <w:rFonts w:ascii="Century Schoolbook" w:eastAsiaTheme="majorEastAsia" w:hAnsi="Century Schoolbook" w:cstheme="majorBidi"/>
      <w:sz w:val="22"/>
      <w:szCs w:val="26"/>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 w:type="numbering" w:customStyle="1" w:styleId="CurrentList1">
    <w:name w:val="Current List1"/>
    <w:uiPriority w:val="99"/>
    <w:rsid w:val="00452A0D"/>
    <w:pPr>
      <w:numPr>
        <w:numId w:val="3"/>
      </w:numPr>
    </w:pPr>
  </w:style>
  <w:style w:type="numbering" w:customStyle="1" w:styleId="CurrentList2">
    <w:name w:val="Current List2"/>
    <w:uiPriority w:val="99"/>
    <w:rsid w:val="007E3200"/>
    <w:pPr>
      <w:numPr>
        <w:numId w:val="39"/>
      </w:numPr>
    </w:pPr>
  </w:style>
  <w:style w:type="numbering" w:customStyle="1" w:styleId="CurrentList3">
    <w:name w:val="Current List3"/>
    <w:uiPriority w:val="99"/>
    <w:rsid w:val="007E3200"/>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412968366">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0865267">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1996034034">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y-Name-Pauli-Murray/dp/B09DMPMWC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yez.org/cases/2006/05-380" TargetMode="External"/><Relationship Id="rId4" Type="http://schemas.openxmlformats.org/officeDocument/2006/relationships/settings" Target="settings.xml"/><Relationship Id="rId9" Type="http://schemas.openxmlformats.org/officeDocument/2006/relationships/hyperlink" Target="https://www.oyez.org/cases/2006/05-1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12</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105</cp:revision>
  <cp:lastPrinted>2021-04-09T00:58:00Z</cp:lastPrinted>
  <dcterms:created xsi:type="dcterms:W3CDTF">2021-06-09T06:44:00Z</dcterms:created>
  <dcterms:modified xsi:type="dcterms:W3CDTF">2023-07-24T16:02:00Z</dcterms:modified>
</cp:coreProperties>
</file>