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shd w:val="clear" w:color="auto" w:fill="auto"/>
        </w:rPr>
      </w:pPr>
      <w:r>
        <w:rPr>
          <w:i w:val="false"/>
          <w:strike w:val="false"/>
          <w:spacing w:val="0"/>
          <w:u w:val="none"/>
          <w:shd w:val="clear" w:color="auto" w:fill="auto"/>
        </w:rPr>
        <w:t>电商know-how V1</w:t>
      </w:r>
    </w:p>
    <w:p>
      <w:pPr>
        <w:pStyle w:val="46rja3"/>
        <w:rPr>
          <w:shd w:val="clear" w:color="auto" w:fill="auto"/>
        </w:rPr>
      </w:pPr>
      <w:r>
        <w:rPr>
          <w:shd w:val="clear" w:color="auto" w:fill="auto"/>
        </w:rPr>
        <w:t># 电商运营全场景核心关键点汇总（来源：电商素材.xlsx）</w:t>
      </w:r>
    </w:p>
    <w:p>
      <w:pPr>
        <w:snapToGrid/>
        <w:spacing w:line="240"/>
        <w:ind/>
        <w:rPr>
          <w:shd w:val="clear" w:color="auto" w:fill="auto"/>
        </w:rPr>
      </w:pPr>
      <w:r>
        <w:rPr>
          <w:i w:val="false"/>
          <w:strike w:val="false"/>
          <w:spacing w:val="0"/>
          <w:u w:val="none"/>
          <w:shd w:val="clear" w:color="auto" w:fill="auto"/>
        </w:rPr>
        <w:t>&gt; 本次汇总覆盖电商企业交易合规、政策适配、主体规划、特殊业务处理、风险应对五大核心场景的所有关键规则，所有内容均来源于《电商素材.xlsx》，可直接作为企业合规运营、风险防控的参考依据。</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w:t>
      </w:r>
    </w:p>
    <w:p>
      <w:pPr>
        <w:snapToGrid/>
        <w:spacing w:line="240"/>
        <w:ind/>
        <w:rPr>
          <w:shd w:val="clear" w:color="auto" w:fill="auto"/>
        </w:rPr>
      </w:pPr>
    </w:p>
    <w:p>
      <w:pPr>
        <w:pStyle w:val="plwtxr"/>
        <w:rPr>
          <w:shd w:val="clear" w:color="auto" w:fill="auto"/>
        </w:rPr>
      </w:pPr>
      <w:r>
        <w:rPr>
          <w:shd w:val="clear" w:color="auto" w:fill="auto"/>
        </w:rPr>
        <w:t>## 一、交易全流程合规关键点</w:t>
      </w:r>
    </w:p>
    <w:p>
      <w:pPr>
        <w:snapToGrid/>
        <w:spacing w:line="240"/>
        <w:ind/>
        <w:rPr>
          <w:shd w:val="clear" w:color="auto" w:fill="auto"/>
        </w:rPr>
      </w:pPr>
      <w:r>
        <w:rPr>
          <w:i w:val="false"/>
          <w:strike w:val="false"/>
          <w:spacing w:val="0"/>
          <w:u w:val="none"/>
          <w:shd w:val="clear" w:color="auto" w:fill="auto"/>
        </w:rPr>
        <w:t>本模块涵盖电商日常交易场景的合规与涉税核心规则：</w:t>
      </w:r>
    </w:p>
    <w:p>
      <w:pPr>
        <w:snapToGrid/>
        <w:spacing w:line="240"/>
        <w:ind/>
        <w:rPr>
          <w:shd w:val="clear" w:color="auto" w:fill="auto"/>
        </w:rPr>
      </w:pPr>
      <w:r>
        <w:rPr>
          <w:i w:val="false"/>
          <w:strike w:val="false"/>
          <w:spacing w:val="0"/>
          <w:u w:val="none"/>
          <w:shd w:val="clear" w:color="auto" w:fill="auto"/>
        </w:rPr>
        <w:t>1. **刷单退货规则**：刷单收入可凭完整证据链（平台后台净销售额截图、刷单支出凭证、低于0.1kg的空包物流证明、资金回流记录等）从应税收入中剔除，但刷单本身属于虚假宣传行为，面临20-200万元</w:t>
      </w:r>
      <w:r>
        <w:rPr>
          <w:rFonts w:hint="eastAsia"/>
          <w:i w:val="false"/>
          <w:strike w:val="false"/>
          <w:spacing w:val="0"/>
          <w:u w:val="none"/>
          <w:shd w:val="clear" w:color="auto" w:fill="auto"/>
        </w:rPr>
        <w:t>市场监督管理局</w:t>
      </w:r>
      <w:r>
        <w:rPr>
          <w:i w:val="false"/>
          <w:strike w:val="false"/>
          <w:spacing w:val="0"/>
          <w:u w:val="none"/>
          <w:shd w:val="clear" w:color="auto" w:fill="auto"/>
        </w:rPr>
        <w:t>处罚、平台流量降权甚至清退的风险；真实退货可凭退款记录、入库单等在当期冲减收入，平台报送收入已包含退款额可直接申报减除。</w:t>
      </w:r>
    </w:p>
    <w:p>
      <w:pPr>
        <w:snapToGrid/>
        <w:spacing w:line="240"/>
        <w:ind/>
        <w:rPr>
          <w:shd w:val="clear" w:color="auto" w:fill="auto"/>
        </w:rPr>
      </w:pPr>
      <w:r>
        <w:rPr>
          <w:i w:val="false"/>
          <w:strike w:val="false"/>
          <w:spacing w:val="0"/>
          <w:u w:val="none"/>
          <w:shd w:val="clear" w:color="auto" w:fill="auto"/>
        </w:rPr>
        <w:t>2. **好评返现规则**：好评返现本质属于不正当竞争行为禁止直接实施，可替换为三类合规方案：不与评价挂钩的售后关怀金（按商业折扣冲减收入抵扣增值税）、会员积分（按递延收益分期确认收入）、新品试用（签订试用协议，视同销售申报增值税）。</w:t>
      </w:r>
    </w:p>
    <w:p>
      <w:pPr>
        <w:snapToGrid/>
        <w:spacing w:line="240"/>
        <w:ind/>
        <w:rPr>
          <w:shd w:val="clear" w:color="auto" w:fill="auto"/>
        </w:rPr>
      </w:pPr>
      <w:r>
        <w:rPr>
          <w:i w:val="false"/>
          <w:strike w:val="false"/>
          <w:spacing w:val="0"/>
          <w:u w:val="none"/>
          <w:shd w:val="clear" w:color="auto" w:fill="auto"/>
        </w:rPr>
        <w:t>3. **抽奖个税规则**：现金红包、实物奖品需按“偶然所得”缴纳20%个税，活动明示的优惠券/折扣券免征个税；可通过替换奖品类型、降低实物奖品价值（部分地区10元以下奖品可从宽征管）、选用平台通用红包递延纳税三类方式优化税负，申报需在兑奖次月15日内通过自然人电子税务局扣缴端完成。</w:t>
      </w:r>
    </w:p>
    <w:p>
      <w:pPr>
        <w:snapToGrid/>
        <w:spacing w:line="240"/>
        <w:ind/>
        <w:rPr>
          <w:shd w:val="clear" w:color="auto" w:fill="auto"/>
        </w:rPr>
      </w:pPr>
    </w:p>
    <w:p>
      <w:pPr>
        <w:pStyle w:val="plwtxr"/>
        <w:rPr>
          <w:shd w:val="clear" w:color="auto" w:fill="auto"/>
        </w:rPr>
      </w:pPr>
      <w:r>
        <w:rPr>
          <w:shd w:val="clear" w:color="auto" w:fill="auto"/>
        </w:rPr>
        <w:t>## 二、平台报送与新政适配关键点</w:t>
      </w:r>
    </w:p>
    <w:p>
      <w:pPr>
        <w:snapToGrid/>
        <w:spacing w:line="240"/>
        <w:ind/>
        <w:rPr>
          <w:shd w:val="clear" w:color="auto" w:fill="auto"/>
        </w:rPr>
      </w:pPr>
      <w:r>
        <w:rPr>
          <w:i w:val="false"/>
          <w:strike w:val="false"/>
          <w:spacing w:val="0"/>
          <w:u w:val="none"/>
          <w:shd w:val="clear" w:color="auto" w:fill="auto"/>
        </w:rPr>
        <w:t>本模块涵盖2025年生效的互联网平台涉税报送新规的核心要求：</w:t>
      </w:r>
    </w:p>
    <w:p>
      <w:pPr>
        <w:snapToGrid/>
        <w:spacing w:line="240"/>
        <w:ind/>
        <w:rPr>
          <w:shd w:val="clear" w:color="auto" w:fill="auto"/>
        </w:rPr>
      </w:pPr>
      <w:r>
        <w:rPr>
          <w:i w:val="false"/>
          <w:strike w:val="false"/>
          <w:spacing w:val="0"/>
          <w:u w:val="none"/>
          <w:shd w:val="clear" w:color="auto" w:fill="auto"/>
        </w:rPr>
        <w:t>1. **核心规则**：新规要求商家全额确认收入，申报收入与平台数据存在差异即可能触发税务预警，无固定安全比例；新规本身不溯及既往，平台无需报送新规施行前的涉税信息，但偷税、抗税、骗税行为不受3-5年追征期限制，税务机关仍可核查历史违规行为。</w:t>
      </w:r>
    </w:p>
    <w:p>
      <w:pPr>
        <w:snapToGrid/>
        <w:spacing w:line="240"/>
        <w:ind/>
        <w:rPr>
          <w:shd w:val="clear" w:color="auto" w:fill="auto"/>
        </w:rPr>
      </w:pPr>
      <w:r>
        <w:rPr>
          <w:i w:val="false"/>
          <w:strike w:val="false"/>
          <w:spacing w:val="0"/>
          <w:u w:val="none"/>
          <w:shd w:val="clear" w:color="auto" w:fill="auto"/>
        </w:rPr>
        <w:t>2. **报送时间与内容**：2025年7月1-30日平台首次报送基本信息，10月1-31日首次报送经营者身份信息、收入信息、直播涉税信息，后续收入信息按季度报送；</w:t>
      </w:r>
      <w:r>
        <w:rPr>
          <w:i w:val="false"/>
          <w:strike w:val="false"/>
          <w:spacing w:val="0"/>
          <w:u w:val="none"/>
          <w:shd w:val="clear" w:color="auto" w:fill="FDEBFF"/>
        </w:rPr>
        <w:t>阿里国际站等跨境平台还需额外报送外汇、物流通关数据，符合跨境电商出口免税条件的交易需单独标注“跨境免税”标识。</w:t>
      </w:r>
    </w:p>
    <w:p>
      <w:pPr>
        <w:snapToGrid/>
        <w:spacing w:line="240"/>
        <w:ind/>
        <w:rPr>
          <w:i w:val="false"/>
          <w:strike w:val="false"/>
          <w:spacing w:val="0"/>
          <w:u w:val="none"/>
          <w:shd w:val="clear" w:color="auto" w:fill="auto"/>
        </w:rPr>
      </w:pPr>
      <w:r>
        <w:rPr>
          <w:rFonts w:hint="eastAsia"/>
          <w:i w:val="false"/>
          <w:strike w:val="false"/>
          <w:spacing w:val="0"/>
          <w:u w:val="none"/>
          <w:shd w:val="clear" w:color="auto" w:fill="auto"/>
        </w:rPr>
        <w:t>3.</w:t>
      </w:r>
      <w:r>
        <w:rPr>
          <w:i w:val="false"/>
          <w:strike w:val="false"/>
          <w:spacing w:val="0"/>
          <w:u w:val="none"/>
          <w:shd w:val="clear" w:color="auto" w:fill="auto"/>
        </w:rPr>
        <w:t>**风险与应对**：平台报送收入无论结算至公户还是老板私人卡均属于监管范围，未申报将被认定为隐匿收入，面临0.5-5倍罚款；出现数据差异时可凭刷单、退货证据向税务机关说明，无法举证的需及时更正申报补税。</w:t>
      </w:r>
    </w:p>
    <w:p>
      <w:pPr>
        <w:snapToGrid/>
        <w:spacing w:line="240"/>
        <w:ind w:left="0"/>
        <w:rPr>
          <w:shd w:val="clear" w:color="auto" w:fill="auto"/>
        </w:rPr>
      </w:pPr>
    </w:p>
    <w:p>
      <w:pPr>
        <w:pBdr/>
        <w:snapToGrid/>
        <w:spacing w:line="240"/>
        <w:ind/>
        <w:rPr>
          <w:rFonts w:hint="eastAsia"/>
          <w:i w:val="false"/>
          <w:strike w:val="false"/>
          <w:spacing w:val="0"/>
          <w:u w:val="none"/>
          <w:shd w:val="clear" w:color="auto" w:fill="auto"/>
        </w:rPr>
      </w:pPr>
      <w:r>
        <w:rPr>
          <w:i w:val="false"/>
          <w:strike w:val="false"/>
          <w:spacing w:val="0"/>
          <w:u w:val="none"/>
          <w:shd w:val="clear" w:color="auto" w:fill="auto"/>
        </w:rPr>
        <w:t>互联网平台涉税报送新规</w:t>
      </w:r>
      <w:r>
        <w:rPr>
          <w:rFonts w:hint="eastAsia"/>
          <w:i w:val="false"/>
          <w:strike w:val="false"/>
          <w:spacing w:val="0"/>
          <w:u w:val="none"/>
          <w:shd w:val="clear" w:color="auto" w:fill="auto"/>
        </w:rPr>
        <w:t>对电商经营者的影响：</w:t>
      </w:r>
    </w:p>
    <w:p>
      <w:pPr>
        <w:snapToGrid/>
        <w:spacing w:line="240"/>
        <w:ind/>
        <w:rPr>
          <w:shd w:val="clear" w:color="auto" w:fill="auto"/>
        </w:rPr>
      </w:pPr>
      <w:r>
        <w:rPr>
          <w:i w:val="false"/>
          <w:strike w:val="false"/>
          <w:spacing w:val="0"/>
          <w:u w:val="none"/>
          <w:shd w:val="clear" w:color="auto" w:fill="auto"/>
        </w:rPr>
        <w:t>1.经营收入全面透明化，告别信息不对称</w:t>
      </w:r>
    </w:p>
    <w:p>
      <w:pPr>
        <w:snapToGrid/>
        <w:spacing w:line="240"/>
        <w:ind/>
        <w:rPr>
          <w:shd w:val="clear" w:color="auto" w:fill="auto"/>
        </w:rPr>
      </w:pPr>
      <w:r>
        <w:rPr>
          <w:i w:val="false"/>
          <w:strike w:val="false"/>
          <w:spacing w:val="0"/>
          <w:u w:val="none"/>
          <w:shd w:val="clear" w:color="auto" w:fill="auto"/>
        </w:rPr>
        <w:t>平台向税务机关常态化报送数据，意味着电商经营者的实际经营状况已被纳入直接监管。平台需按季度报送销售收入、退款、净收入及交易详情，这使得过去依靠隐匿收入来降低税负的操作空间不复存在。</w:t>
      </w:r>
    </w:p>
    <w:p>
      <w:pPr>
        <w:snapToGrid/>
        <w:spacing w:line="240"/>
        <w:ind/>
        <w:rPr>
          <w:shd w:val="clear" w:color="auto" w:fill="auto"/>
        </w:rPr>
      </w:pPr>
      <w:r>
        <w:rPr>
          <w:i w:val="false"/>
          <w:strike w:val="false"/>
          <w:spacing w:val="0"/>
          <w:u w:val="none"/>
          <w:shd w:val="clear" w:color="auto" w:fill="auto"/>
        </w:rPr>
        <w:t>2.多平台数据归并，构建完整收入画像</w:t>
      </w:r>
    </w:p>
    <w:p>
      <w:pPr>
        <w:snapToGrid/>
        <w:spacing w:line="240"/>
        <w:ind/>
        <w:rPr>
          <w:shd w:val="clear" w:color="auto" w:fill="auto"/>
        </w:rPr>
      </w:pPr>
      <w:r>
        <w:rPr>
          <w:i w:val="false"/>
          <w:strike w:val="false"/>
          <w:spacing w:val="0"/>
          <w:u w:val="none"/>
          <w:shd w:val="clear" w:color="auto" w:fill="auto"/>
        </w:rPr>
        <w:t>税务机关能够通过技术手段，将同一经营者在不同电商平台甚至线下的收入进行合并计算。无论商家在几个平台经营，其总收入规模都会被完整呈现，有效防止了分散收入逃避监管的行为。</w:t>
      </w:r>
    </w:p>
    <w:p>
      <w:pPr>
        <w:snapToGrid/>
        <w:spacing w:line="240"/>
        <w:ind/>
        <w:rPr>
          <w:shd w:val="clear" w:color="auto" w:fill="auto"/>
        </w:rPr>
      </w:pPr>
      <w:r>
        <w:rPr>
          <w:i w:val="false"/>
          <w:strike w:val="false"/>
          <w:spacing w:val="0"/>
          <w:u w:val="none"/>
          <w:shd w:val="clear" w:color="auto" w:fill="auto"/>
        </w:rPr>
        <w:t>3.数据自动比对，触发风险预警机制</w:t>
      </w:r>
    </w:p>
    <w:p>
      <w:pPr>
        <w:snapToGrid/>
        <w:spacing w:line="240"/>
        <w:ind/>
        <w:rPr>
          <w:shd w:val="clear" w:color="auto" w:fill="auto"/>
        </w:rPr>
      </w:pPr>
      <w:r>
        <w:rPr>
          <w:i w:val="false"/>
          <w:strike w:val="false"/>
          <w:spacing w:val="0"/>
          <w:u w:val="none"/>
          <w:shd w:val="clear" w:color="auto" w:fill="auto"/>
        </w:rPr>
        <w:t>税务部门会将平台报送的数据与商家自行申报的数据进行自动比对。一旦发现申报收入明显低于平台报送的金额，系统会立即预警，轻则收到提示要求核实更正，重则可能面临税务稽查。</w:t>
      </w:r>
    </w:p>
    <w:p>
      <w:pPr>
        <w:snapToGrid/>
        <w:spacing w:line="240"/>
        <w:ind/>
        <w:rPr>
          <w:shd w:val="clear" w:color="auto" w:fill="auto"/>
        </w:rPr>
      </w:pPr>
      <w:r>
        <w:rPr>
          <w:i w:val="false"/>
          <w:strike w:val="false"/>
          <w:spacing w:val="0"/>
          <w:u w:val="none"/>
          <w:shd w:val="clear" w:color="auto" w:fill="auto"/>
        </w:rPr>
        <w:t>4.已登记但隐匿收入的商家税负回归正常</w:t>
      </w:r>
    </w:p>
    <w:p>
      <w:pPr>
        <w:snapToGrid/>
        <w:spacing w:line="240"/>
        <w:ind/>
        <w:rPr>
          <w:shd w:val="clear" w:color="auto" w:fill="auto"/>
        </w:rPr>
      </w:pPr>
      <w:r>
        <w:rPr>
          <w:i w:val="false"/>
          <w:strike w:val="false"/>
          <w:spacing w:val="0"/>
          <w:u w:val="none"/>
          <w:shd w:val="clear" w:color="auto" w:fill="auto"/>
        </w:rPr>
        <w:t>过去通过隐匿收入、虚假申报来减轻税负的商家，现在需要补上这部分成本。税负回归正常将直接压缩此类商家的利润空间，以往依赖信息不透明的经营模式难以为继。</w:t>
      </w:r>
    </w:p>
    <w:p>
      <w:pPr>
        <w:snapToGrid/>
        <w:spacing w:line="240"/>
        <w:ind/>
        <w:rPr>
          <w:shd w:val="clear" w:color="auto" w:fill="auto"/>
        </w:rPr>
      </w:pPr>
      <w:r>
        <w:rPr>
          <w:i w:val="false"/>
          <w:strike w:val="false"/>
          <w:spacing w:val="0"/>
          <w:u w:val="none"/>
          <w:shd w:val="clear" w:color="auto" w:fill="auto"/>
        </w:rPr>
        <w:t>5.刷单行为将带来真实的税务成本</w:t>
      </w:r>
    </w:p>
    <w:p>
      <w:pPr>
        <w:snapToGrid/>
        <w:spacing w:line="240"/>
        <w:ind/>
        <w:rPr>
          <w:shd w:val="clear" w:color="auto" w:fill="auto"/>
        </w:rPr>
      </w:pPr>
      <w:r>
        <w:rPr>
          <w:i w:val="false"/>
          <w:strike w:val="false"/>
          <w:spacing w:val="0"/>
          <w:u w:val="none"/>
          <w:shd w:val="clear" w:color="auto" w:fill="auto"/>
        </w:rPr>
        <w:t>平台报送的收入信息不会剔除虚假交易。这意味着商家需要为刷单产生的虚构流水缴纳增值税和所得税，导致实际税负远高于真实经营利润，虚假的交易量将转化为实实在在的成本。</w:t>
      </w:r>
    </w:p>
    <w:p>
      <w:pPr>
        <w:snapToGrid/>
        <w:spacing w:line="240"/>
        <w:ind/>
        <w:rPr>
          <w:shd w:val="clear" w:color="auto" w:fill="auto"/>
        </w:rPr>
      </w:pPr>
      <w:r>
        <w:rPr>
          <w:i w:val="false"/>
          <w:strike w:val="false"/>
          <w:spacing w:val="0"/>
          <w:u w:val="none"/>
          <w:shd w:val="clear" w:color="auto" w:fill="auto"/>
        </w:rPr>
        <w:t>6.供应链不规范的商家面临进项抵扣难题</w:t>
      </w:r>
    </w:p>
    <w:p>
      <w:pPr>
        <w:pBdr/>
        <w:snapToGrid/>
        <w:spacing w:line="240"/>
        <w:ind/>
        <w:rPr>
          <w:i w:val="false"/>
          <w:strike w:val="false"/>
          <w:spacing w:val="0"/>
          <w:u w:val="none"/>
          <w:shd w:val="clear" w:color="auto" w:fill="auto"/>
        </w:rPr>
      </w:pPr>
      <w:r>
        <w:rPr>
          <w:i w:val="false"/>
          <w:strike w:val="false"/>
          <w:spacing w:val="0"/>
          <w:u w:val="none"/>
          <w:shd w:val="clear" w:color="auto" w:fill="auto"/>
        </w:rPr>
        <w:t>许多中小商家依赖不开发票的低价货源。在一般纳税人身份下，若无法取得合规的进项发票来抵扣销项增值税，将面临全额承担高额税负的局面，这会严重侵蚀利润，倒逼其规范采购渠道。电商企业需要寻找能开具发票的供应商，该类供应商的定价可能会较高，从而影响企业商业安排及商务谈判。</w:t>
      </w:r>
    </w:p>
    <w:p>
      <w:pPr>
        <w:pBdr/>
        <w:snapToGrid/>
        <w:spacing w:line="240"/>
        <w:ind/>
        <w:rPr>
          <w:shd w:val="clear" w:color="auto" w:fill="auto"/>
        </w:rPr>
      </w:pPr>
    </w:p>
    <w:p>
      <w:pPr>
        <w:pBdr/>
        <w:snapToGrid/>
        <w:spacing w:line="240"/>
        <w:ind/>
        <w:rPr>
          <w:i w:val="false"/>
          <w:strike w:val="false"/>
          <w:spacing w:val="0"/>
          <w:u w:val="none"/>
          <w:shd w:val="clear" w:color="auto" w:fill="auto"/>
        </w:rPr>
      </w:pPr>
      <w:r>
        <w:rPr>
          <w:i w:val="false"/>
          <w:strike w:val="false"/>
          <w:spacing w:val="0"/>
          <w:u w:val="none"/>
          <w:shd w:val="clear" w:color="auto" w:fill="auto"/>
        </w:rPr>
        <w:t>如果多店铺绑定的是同一企业主体，那么税局会把平台上报的每家店铺的销售数据合并计算，合并计算后若超过500万标准，将会丧失小规模纳税人的身份。根据新增值税法及国家税务总局2026年第2号公告，超标当期立即生效按一般纳税人计税。</w:t>
      </w:r>
    </w:p>
    <w:p>
      <w:pPr>
        <w:pBdr/>
        <w:snapToGrid/>
        <w:spacing w:line="240"/>
        <w:ind/>
        <w:rPr>
          <w:shd w:val="clear" w:color="auto" w:fill="auto"/>
        </w:rPr>
      </w:pPr>
    </w:p>
    <w:p>
      <w:pPr>
        <w:snapToGrid/>
        <w:spacing w:line="240"/>
        <w:ind/>
        <w:rPr>
          <w:shd w:val="clear" w:color="auto" w:fill="auto"/>
        </w:rPr>
      </w:pPr>
      <w:r>
        <w:rPr>
          <w:rFonts w:hint="eastAsia"/>
          <w:shd w:val="clear" w:color="auto" w:fill="auto"/>
        </w:rPr>
        <w:t>针对新政是否会</w:t>
      </w:r>
      <w:r>
        <w:rPr>
          <w:i w:val="false"/>
          <w:strike w:val="false"/>
          <w:spacing w:val="0"/>
          <w:u w:val="none"/>
          <w:shd w:val="clear" w:color="auto" w:fill="auto"/>
        </w:rPr>
        <w:t>追溯既往</w:t>
      </w:r>
      <w:r>
        <w:rPr>
          <w:rFonts w:hint="eastAsia"/>
          <w:i w:val="false"/>
          <w:strike w:val="false"/>
          <w:spacing w:val="0"/>
          <w:u w:val="none"/>
          <w:shd w:val="clear" w:color="auto" w:fill="auto"/>
        </w:rPr>
        <w:t>，</w:t>
      </w:r>
      <w:r>
        <w:rPr>
          <w:i w:val="false"/>
          <w:strike w:val="false"/>
          <w:spacing w:val="0"/>
          <w:u w:val="none"/>
          <w:shd w:val="clear" w:color="auto" w:fill="auto"/>
        </w:rPr>
        <w:t>根据《互联网平台企业涉税信息报送规定》第十二条规定，“平台内经营者和从业人员在本规定施行前的涉税信息，互联网平台企业不需要报送”，电商平台新规本身不溯及既往。但是，根据《中华人民共和国税收征管法》第五十二条规定，“因纳税人、扣缴义务人计算错误等失误，未缴或者少缴税款的，税务机关在三年内可以追征税款、滞纳金;有特殊情况的，追征期可以延长到五年。对偷税、抗税、骗税的，税务机关追征其未缴或者少缴的税款、滞纳金或者所骗取的税款，不受前款规定期限的限制”，税局仍有权对历史违规行为追溯核查。因此，虽然不能阻止税局核查历史数据，但是可以通过以下方式降低被检查的风险：</w:t>
      </w:r>
    </w:p>
    <w:p>
      <w:pPr>
        <w:snapToGrid/>
        <w:spacing w:line="240"/>
        <w:ind/>
        <w:rPr>
          <w:shd w:val="clear" w:color="auto" w:fill="auto"/>
        </w:rPr>
      </w:pPr>
      <w:r>
        <w:rPr>
          <w:i w:val="false"/>
          <w:strike w:val="false"/>
          <w:spacing w:val="0"/>
          <w:u w:val="none"/>
          <w:shd w:val="clear" w:color="auto" w:fill="auto"/>
        </w:rPr>
        <w:t>1.优化主体结构：成立新主体，将新发生的业务转移至新主体，隔离历史风险，注销清税难度低的主体；</w:t>
      </w:r>
    </w:p>
    <w:p>
      <w:pPr>
        <w:snapToGrid/>
        <w:spacing w:line="240"/>
        <w:ind/>
        <w:rPr>
          <w:shd w:val="clear" w:color="auto" w:fill="auto"/>
        </w:rPr>
      </w:pPr>
      <w:r>
        <w:rPr>
          <w:i w:val="false"/>
          <w:strike w:val="false"/>
          <w:spacing w:val="0"/>
          <w:u w:val="none"/>
          <w:shd w:val="clear" w:color="auto" w:fill="auto"/>
        </w:rPr>
        <w:t>2.立即停止违规行为：收入全额、如实申报，确保 “平台数据、银行流水、纳税申报” 三方一致。采购、费用凭票入账，建立完整证据链。</w:t>
      </w:r>
    </w:p>
    <w:p>
      <w:pPr>
        <w:pStyle w:val="plwtxr"/>
        <w:rPr>
          <w:shd w:val="clear" w:color="auto" w:fill="auto"/>
        </w:rPr>
      </w:pPr>
      <w:r>
        <w:rPr>
          <w:shd w:val="clear" w:color="auto" w:fill="auto"/>
        </w:rPr>
        <w:t>## 三、主体设立与税负规划关键点</w:t>
      </w:r>
    </w:p>
    <w:p>
      <w:pPr>
        <w:snapToGrid/>
        <w:spacing w:line="240"/>
        <w:ind/>
        <w:rPr>
          <w:shd w:val="clear" w:color="auto" w:fill="auto"/>
        </w:rPr>
      </w:pPr>
      <w:r>
        <w:rPr>
          <w:i w:val="false"/>
          <w:strike w:val="false"/>
          <w:spacing w:val="0"/>
          <w:u w:val="none"/>
          <w:shd w:val="clear" w:color="auto" w:fill="auto"/>
        </w:rPr>
        <w:t>本模块涵盖电商主体选择、架构搭建、税负优化的合规要求：</w:t>
      </w:r>
    </w:p>
    <w:p>
      <w:pPr>
        <w:snapToGrid/>
        <w:spacing w:line="240"/>
        <w:ind/>
        <w:rPr>
          <w:shd w:val="clear" w:color="auto" w:fill="auto"/>
        </w:rPr>
      </w:pPr>
      <w:r>
        <w:rPr>
          <w:i w:val="false"/>
          <w:strike w:val="false"/>
          <w:spacing w:val="0"/>
          <w:u w:val="none"/>
          <w:shd w:val="clear" w:color="auto" w:fill="auto"/>
        </w:rPr>
        <w:t>1. **主体变更与选择规则**：个人店无法直接换绑企业店，需注销后重新注册，原店铺信誉、销量无法继承，全流程耗时15-30天；业务量小的初创商家可选择个体户，有规模、团队或融资需求的商家建议选择有限公司，目前电商类个体户核定征收政策管控严格，多数地区已取消，部分地区电商类个体户会被要求转为查账征收。</w:t>
      </w:r>
    </w:p>
    <w:p>
      <w:pPr>
        <w:snapToGrid/>
        <w:spacing w:line="240"/>
        <w:ind/>
        <w:rPr>
          <w:shd w:val="clear" w:color="auto" w:fill="auto"/>
        </w:rPr>
      </w:pPr>
      <w:r>
        <w:rPr>
          <w:i w:val="false"/>
          <w:strike w:val="false"/>
          <w:spacing w:val="0"/>
          <w:u w:val="none"/>
          <w:shd w:val="clear" w:color="auto" w:fill="auto"/>
        </w:rPr>
        <w:t>2. **多主体运营合规要求**：多主体拆分需具备合理商业目的</w:t>
      </w:r>
      <w:r>
        <w:rPr>
          <w:rFonts w:hint="eastAsia"/>
          <w:i w:val="false"/>
          <w:strike w:val="false"/>
          <w:spacing w:val="0"/>
          <w:u w:val="none"/>
          <w:shd w:val="clear" w:color="auto" w:fill="auto"/>
        </w:rPr>
        <w:t>（按品牌/渠道/区域等进行拆分）</w:t>
      </w:r>
      <w:r>
        <w:rPr>
          <w:i w:val="false"/>
          <w:strike w:val="false"/>
          <w:spacing w:val="0"/>
          <w:u w:val="none"/>
          <w:shd w:val="clear" w:color="auto" w:fill="auto"/>
        </w:rPr>
        <w:t>，做到业务独立、人员独立、财务独立，禁止三类恶意拆分情形：同一控制人设立多家经营范围高度同质化主体、注册空壳主体仅用于拆分收入、拆分合同至多个低优惠门槛主体，否则将被金税系统穿透联查，认定为偷税。</w:t>
      </w:r>
    </w:p>
    <w:p>
      <w:pPr>
        <w:snapToGrid/>
        <w:spacing w:line="240"/>
        <w:ind/>
        <w:rPr>
          <w:shd w:val="clear" w:color="auto" w:fill="auto"/>
        </w:rPr>
      </w:pPr>
      <w:r>
        <w:rPr>
          <w:i w:val="false"/>
          <w:strike w:val="false"/>
          <w:spacing w:val="0"/>
          <w:u w:val="none"/>
          <w:shd w:val="clear" w:color="auto" w:fill="auto"/>
        </w:rPr>
        <w:t>3. **税负优化风险与方案**：综合税负控制在2.5%以内的承诺均通过恶意拆分、虚开发票等不合规手段实现，风险极高；缺成本票可通过三类合规方式解决：合理拆分业务控制单主体年销售额在500万以内避免强制升为一般纳税人、优先选择可开票供应商、</w:t>
      </w:r>
      <w:r>
        <w:rPr>
          <w:rFonts w:hint="eastAsia"/>
          <w:i w:val="false"/>
          <w:strike w:val="false"/>
          <w:spacing w:val="0"/>
          <w:u w:val="none"/>
          <w:shd w:val="clear" w:color="auto" w:fill="auto"/>
        </w:rPr>
        <w:t>享受</w:t>
      </w:r>
      <w:r>
        <w:rPr>
          <w:i w:val="false"/>
          <w:strike w:val="false"/>
          <w:spacing w:val="0"/>
          <w:u w:val="none"/>
          <w:shd w:val="clear" w:color="auto" w:fill="auto"/>
        </w:rPr>
        <w:t>小微企业所得税等税收优惠。</w:t>
      </w:r>
    </w:p>
    <w:p>
      <w:pPr>
        <w:pBdr/>
        <w:snapToGrid/>
        <w:spacing w:line="240"/>
        <w:ind/>
        <w:rPr>
          <w:shd w:val="clear" w:color="auto" w:fill="auto"/>
        </w:rPr>
      </w:pPr>
    </w:p>
    <w:p>
      <w:pPr>
        <w:pBdr/>
        <w:snapToGrid/>
        <w:spacing w:line="240"/>
        <w:ind/>
        <w:rPr>
          <w:rFonts w:hint="eastAsia"/>
          <w:shd w:val="clear" w:color="auto" w:fill="auto"/>
        </w:rPr>
      </w:pPr>
      <w:r>
        <w:rPr>
          <w:rFonts w:hint="eastAsia"/>
          <w:shd w:val="clear" w:color="auto" w:fill="auto"/>
        </w:rPr>
        <w:t>针对维持小规模纳税人，企业可以通过以下方式：</w:t>
      </w:r>
    </w:p>
    <w:p>
      <w:pPr>
        <w:snapToGrid/>
        <w:spacing w:line="240"/>
        <w:ind/>
        <w:rPr>
          <w:shd w:val="clear" w:color="auto" w:fill="auto"/>
        </w:rPr>
      </w:pPr>
      <w:r>
        <w:rPr>
          <w:i w:val="false"/>
          <w:strike w:val="false"/>
          <w:spacing w:val="0"/>
          <w:u w:val="none"/>
          <w:shd w:val="clear" w:color="auto" w:fill="auto"/>
        </w:rPr>
        <w:t>1.建立连续12个月销售额台账，逐月/逐季度核算，临近450万元时进行预警；</w:t>
      </w:r>
    </w:p>
    <w:p>
      <w:pPr>
        <w:snapToGrid/>
        <w:spacing w:line="240"/>
        <w:ind/>
        <w:rPr>
          <w:shd w:val="clear" w:color="auto" w:fill="auto"/>
        </w:rPr>
      </w:pPr>
      <w:r>
        <w:rPr>
          <w:i w:val="false"/>
          <w:strike w:val="false"/>
          <w:spacing w:val="0"/>
          <w:u w:val="none"/>
          <w:shd w:val="clear" w:color="auto" w:fill="auto"/>
        </w:rPr>
        <w:t>2.按品类、品牌、渠道拆分至多个独立主体（个体户/小规模公司），拆分时建议参照拆分过程需要注意国家税务总局政策法规司《小微企业套享税收优惠政策问题即问即答》对于分拆收入的要求列举了正面及负面清单，避免“一址多证”、人员混同、空壳公司无实质经营、资产共用、各主体收入与其实际业务匹配等情况；</w:t>
      </w:r>
    </w:p>
    <w:p>
      <w:pPr>
        <w:snapToGrid/>
        <w:spacing w:line="240"/>
        <w:ind/>
        <w:rPr>
          <w:shd w:val="clear" w:color="auto" w:fill="auto"/>
        </w:rPr>
      </w:pPr>
      <w:r>
        <w:rPr>
          <w:i w:val="false"/>
          <w:strike w:val="false"/>
          <w:spacing w:val="0"/>
          <w:u w:val="none"/>
          <w:shd w:val="clear" w:color="auto" w:fill="auto"/>
        </w:rPr>
        <w:t>3.合理控制广告投放、大促规模，避免单月/季度集中冲高导致滚动超标；</w:t>
      </w:r>
    </w:p>
    <w:p>
      <w:pPr>
        <w:snapToGrid/>
        <w:spacing w:line="240"/>
        <w:ind/>
        <w:rPr>
          <w:shd w:val="clear" w:color="auto" w:fill="auto"/>
        </w:rPr>
      </w:pPr>
      <w:r>
        <w:rPr>
          <w:i w:val="false"/>
          <w:strike w:val="false"/>
          <w:spacing w:val="0"/>
          <w:u w:val="none"/>
          <w:shd w:val="clear" w:color="auto" w:fill="auto"/>
        </w:rPr>
        <w:t>4.明确平台费用，佣金、技术服务费等不计入应税销售额；</w:t>
      </w:r>
    </w:p>
    <w:p>
      <w:pPr>
        <w:snapToGrid/>
        <w:spacing w:line="240"/>
        <w:ind/>
        <w:rPr>
          <w:shd w:val="clear" w:color="auto" w:fill="auto"/>
        </w:rPr>
      </w:pPr>
      <w:r>
        <w:rPr>
          <w:i w:val="false"/>
          <w:strike w:val="false"/>
          <w:spacing w:val="0"/>
          <w:u w:val="none"/>
          <w:shd w:val="clear" w:color="auto" w:fill="auto"/>
        </w:rPr>
        <w:t>5.留存刷单、退货、退款凭证，及时冲减销售额。</w:t>
      </w:r>
    </w:p>
    <w:p>
      <w:pPr>
        <w:pStyle w:val="plwtxr"/>
        <w:rPr>
          <w:shd w:val="clear" w:color="auto" w:fill="auto"/>
        </w:rPr>
      </w:pPr>
      <w:r>
        <w:rPr>
          <w:shd w:val="clear" w:color="auto" w:fill="auto"/>
        </w:rPr>
        <w:t>## 四、特殊业务处理关键点</w:t>
      </w:r>
    </w:p>
    <w:p>
      <w:pPr>
        <w:snapToGrid/>
        <w:spacing w:line="240"/>
        <w:ind/>
        <w:rPr>
          <w:shd w:val="clear" w:color="auto" w:fill="auto"/>
        </w:rPr>
      </w:pPr>
      <w:r>
        <w:rPr>
          <w:i w:val="false"/>
          <w:strike w:val="false"/>
          <w:spacing w:val="0"/>
          <w:u w:val="none"/>
          <w:shd w:val="clear" w:color="auto" w:fill="auto"/>
        </w:rPr>
        <w:t>本模块涵盖电商两类高频特殊业务的标准化税务处理规则：</w:t>
      </w:r>
    </w:p>
    <w:p>
      <w:pPr>
        <w:numPr>
          <w:ilvl w:val="0"/>
          <w:numId w:val="1"/>
        </w:numPr>
        <w:pBdr>
          <w:bottom/>
        </w:pBdr>
        <w:snapToGrid/>
        <w:spacing w:line="240"/>
        <w:ind/>
        <w:rPr>
          <w:i w:val="false"/>
          <w:strike w:val="false"/>
          <w:color w:val="1450B8"/>
          <w:spacing w:val="0"/>
          <w:u w:val="none"/>
          <w:shd w:val="clear" w:color="auto" w:fill="auto"/>
        </w:rPr>
      </w:pPr>
      <w:r>
        <w:rPr>
          <w:i w:val="false"/>
          <w:strike w:val="false"/>
          <w:spacing w:val="0"/>
          <w:u w:val="none"/>
          <w:shd w:val="clear" w:color="auto" w:fill="auto"/>
        </w:rPr>
        <w:t>**平台补贴处理**：价格补贴（平台直接补贴消费者降低成交价）属于商品销售收入组成部分，一般纳税人按13%税率开具货物发票给平台；推广服务费补贴（平台支付给商家的流量扶持）签订服务协议明确业务实质后，可按6%税率开具服务费发票给平台。</w:t>
      </w:r>
      <w:r>
        <w:rPr>
          <w:i w:val="false"/>
          <w:strike w:val="false"/>
          <w:color w:val="1450B8"/>
          <w:spacing w:val="0"/>
          <w:u w:val="none"/>
          <w:shd w:val="clear" w:color="auto" w:fill="auto"/>
        </w:rPr>
        <w:t>但是各地税局的征管口径不一致，需要与主管税局确认。</w:t>
      </w:r>
    </w:p>
    <w:p>
      <w:pPr>
        <w:numPr>
          <w:ilvl w:val="0"/>
          <w:numId w:val="1"/>
        </w:numPr>
        <w:pBdr>
          <w:bottom/>
        </w:pBdr>
        <w:snapToGrid/>
        <w:spacing w:line="240"/>
        <w:ind/>
        <w:rPr>
          <w:shd w:val="clear" w:color="auto" w:fill="auto"/>
        </w:rPr>
      </w:pPr>
      <w:r>
        <w:rPr>
          <w:i w:val="false"/>
          <w:strike w:val="false"/>
          <w:spacing w:val="0"/>
          <w:u w:val="none"/>
          <w:shd w:val="clear" w:color="auto" w:fill="auto"/>
        </w:rPr>
        <w:t xml:space="preserve"> **一件代发快递费处理**：厂家身份收取的快递费需并入商品全部价款，按销售货物计税（一般纳税人13%、小规模1%/3%），不得单独开具快递费发票；承担运输风险的中间承运人按物流辅助服务开具快递费发票；不承担运输风险的中间方仅就收取的差价按经纪代理服务开票，快递费发票由物流公司直接开具给收货方。</w:t>
      </w:r>
    </w:p>
    <w:p>
      <w:pPr>
        <w:pBdr/>
        <w:snapToGrid/>
        <w:spacing w:line="240"/>
        <w:ind/>
        <w:rPr>
          <w:shd w:val="clear" w:color="auto" w:fill="auto"/>
        </w:rPr>
      </w:pPr>
    </w:p>
    <w:p>
      <w:pPr>
        <w:pStyle w:val="plwtxr"/>
        <w:pBdr/>
        <w:ind/>
        <w:rPr>
          <w:rFonts w:hint="eastAsia"/>
          <w:shd w:val="clear" w:color="auto" w:fill="auto"/>
        </w:rPr>
      </w:pPr>
      <w:r>
        <w:rPr>
          <w:shd w:val="clear" w:color="auto" w:fill="auto"/>
        </w:rPr>
        <w:t>##五、</w:t>
      </w:r>
      <w:r>
        <w:rPr>
          <w:rFonts w:hint="eastAsia"/>
          <w:shd w:val="clear" w:color="auto" w:fill="auto"/>
        </w:rPr>
        <w:t>跨境</w:t>
      </w:r>
      <w:r>
        <w:rPr>
          <w:rFonts w:hint="eastAsia"/>
          <w:shd w:val="clear" w:color="auto" w:fill="auto"/>
        </w:rPr>
        <w:t>电商</w:t>
      </w:r>
      <w:r>
        <w:rPr>
          <w:rFonts w:hint="eastAsia"/>
          <w:shd w:val="clear" w:color="auto" w:fill="auto"/>
        </w:rPr>
        <w:t>关键</w:t>
      </w:r>
      <w:r>
        <w:rPr>
          <w:rFonts w:hint="eastAsia"/>
          <w:shd w:val="clear" w:color="auto" w:fill="auto"/>
        </w:rPr>
        <w:t>点</w:t>
      </w:r>
    </w:p>
    <w:p>
      <w:pPr>
        <w:pStyle w:val="ablt93"/>
        <w:numPr>
          <w:ilvl w:val="0"/>
          <w:numId w:val="2"/>
        </w:numPr>
        <w:pBdr/>
        <w:rPr>
          <w:rFonts w:hint="eastAsia"/>
          <w:b/>
        </w:rPr>
      </w:pPr>
      <w:r>
        <w:rPr>
          <w:rFonts w:hint="eastAsia"/>
          <w:b/>
        </w:rPr>
        <w:t>跨境电商模式</w:t>
      </w:r>
    </w:p>
    <w:p>
      <w:pPr>
        <w:pStyle w:val="ablt93"/>
        <w:pBdr/>
        <w:ind w:left="0"/>
        <w:rPr/>
      </w:pPr>
      <w:r>
        <w:rPr>
          <w:rFonts w:hint="eastAsia"/>
        </w:rPr>
        <w:t>（</w:t>
      </w:r>
      <w:r>
        <w:rPr>
          <w:rFonts w:hint="eastAsia"/>
        </w:rPr>
        <w:t>1</w:t>
      </w:r>
      <w:r>
        <w:rPr>
          <w:rFonts w:hint="eastAsia"/>
        </w:rPr>
        <w:t>）</w:t>
      </w:r>
      <w:r>
        <w:rPr>
          <w:rFonts w:hint="eastAsia"/>
        </w:rPr>
        <w:t>半托管模式</w:t>
      </w:r>
    </w:p>
    <w:p>
      <w:pPr>
        <w:pBdr>
          <w:bottom/>
        </w:pBdr>
        <w:snapToGrid/>
        <w:spacing w:line="240"/>
        <w:ind/>
        <w:rPr>
          <w:rFonts w:hint="eastAsia"/>
          <w:i w:val="false"/>
          <w:strike w:val="false"/>
          <w:spacing w:val="0"/>
          <w:u w:val="none"/>
        </w:rPr>
      </w:pPr>
      <w:r>
        <w:rPr>
          <w:rFonts w:hint="eastAsia"/>
          <w:i w:val="false"/>
          <w:strike w:val="false"/>
          <w:spacing w:val="0"/>
          <w:u w:val="none"/>
        </w:rPr>
        <w:t>半托管模式下，跨境电商平台上的商家自行单独报关，可以申请享受增值税的出口退免税政策。另外，无论是一般纳税人，还是小规模纳税人，在取得本公司报关单的情况下是可以享受增值税免税政策的。###《财政部 税务总局关于出口业务增值税和消费税政策的公告》(财政部 税务总局公告2026年第11号） 第六条###</w:t>
      </w:r>
    </w:p>
    <w:p>
      <w:pPr>
        <w:pBdr>
          <w:bottom/>
        </w:pBdr>
        <w:snapToGrid/>
        <w:spacing w:line="240"/>
        <w:ind/>
        <w:rPr>
          <w:rFonts w:hint="eastAsia"/>
          <w:i w:val="false"/>
          <w:strike w:val="false"/>
          <w:spacing w:val="0"/>
          <w:u w:val="none"/>
        </w:rPr>
      </w:pPr>
      <w:r>
        <w:rPr>
          <w:rFonts w:hint="eastAsia"/>
          <w:i w:val="false"/>
          <w:strike w:val="false"/>
          <w:spacing w:val="0"/>
          <w:u w:val="none"/>
          <w:shd w:val="clear" w:color="auto" w:fill="FFF9E3"/>
        </w:rPr>
        <w:t>自行报关的企业具体操作流程是</w:t>
      </w:r>
      <w:r>
        <w:rPr>
          <w:rFonts w:hint="eastAsia"/>
          <w:i w:val="false"/>
          <w:strike w:val="false"/>
          <w:spacing w:val="0"/>
          <w:u w:val="none"/>
        </w:rPr>
        <w:t>：</w:t>
      </w:r>
    </w:p>
    <w:p>
      <w:pPr>
        <w:pBdr>
          <w:bottom/>
        </w:pBdr>
        <w:snapToGrid/>
        <w:spacing w:line="240"/>
        <w:ind/>
        <w:rPr>
          <w:rFonts w:hint="eastAsia"/>
          <w:i w:val="false"/>
          <w:strike w:val="false"/>
          <w:spacing w:val="0"/>
          <w:u w:val="none"/>
        </w:rPr>
      </w:pPr>
      <w:r>
        <w:rPr>
          <w:rFonts w:hint="eastAsia"/>
          <w:i w:val="false"/>
          <w:strike w:val="false"/>
          <w:spacing w:val="0"/>
          <w:u w:val="none"/>
        </w:rPr>
        <w:t>-</w:t>
      </w:r>
      <w:r>
        <w:rPr>
          <w:rFonts w:hint="eastAsia"/>
          <w:i w:val="false"/>
          <w:strike w:val="false"/>
          <w:spacing w:val="0"/>
          <w:u w:val="none"/>
        </w:rPr>
        <w:t>首次出口，企业增加进出口经营范围(在营业执照经营范围中增加 “货物进出口、技术进出口” 等字样</w:t>
      </w:r>
      <w:r>
        <w:rPr>
          <w:rFonts w:hint="eastAsia"/>
          <w:i w:val="false"/>
          <w:strike w:val="false"/>
          <w:spacing w:val="0"/>
          <w:u w:val="none"/>
        </w:rPr>
        <w:t>）</w:t>
      </w:r>
      <w:r>
        <w:rPr>
          <w:rFonts w:hint="eastAsia"/>
          <w:i w:val="false"/>
          <w:strike w:val="false"/>
          <w:spacing w:val="0"/>
          <w:u w:val="none"/>
        </w:rPr>
        <w:t>；</w:t>
      </w:r>
      <w:r>
        <w:rPr>
          <w:rFonts w:hint="eastAsia"/>
          <w:i w:val="false"/>
          <w:strike w:val="false"/>
          <w:spacing w:val="0"/>
          <w:u w:val="none"/>
        </w:rPr>
        <w:t>办理海关出口收发货人注册登记</w:t>
      </w:r>
      <w:r>
        <w:rPr>
          <w:rFonts w:hint="eastAsia"/>
          <w:i w:val="false"/>
          <w:strike w:val="false"/>
          <w:spacing w:val="0"/>
          <w:u w:val="none"/>
        </w:rPr>
        <w:t>；</w:t>
      </w:r>
      <w:r>
        <w:rPr>
          <w:rFonts w:hint="eastAsia"/>
          <w:i w:val="false"/>
          <w:strike w:val="false"/>
          <w:spacing w:val="0"/>
          <w:u w:val="none"/>
        </w:rPr>
        <w:t>外汇管理局名录登记及服务平台开通</w:t>
      </w:r>
      <w:r>
        <w:rPr>
          <w:rFonts w:hint="eastAsia"/>
          <w:i w:val="false"/>
          <w:strike w:val="false"/>
          <w:spacing w:val="0"/>
          <w:u w:val="none"/>
        </w:rPr>
        <w:t>；</w:t>
      </w:r>
      <w:r>
        <w:rPr>
          <w:rFonts w:hint="eastAsia"/>
          <w:i w:val="false"/>
          <w:strike w:val="false"/>
          <w:spacing w:val="0"/>
          <w:u w:val="none"/>
        </w:rPr>
        <w:t>电子口岸办理</w:t>
      </w:r>
      <w:r>
        <w:rPr>
          <w:rFonts w:hint="eastAsia"/>
          <w:i w:val="false"/>
          <w:strike w:val="false"/>
          <w:spacing w:val="0"/>
          <w:u w:val="none"/>
        </w:rPr>
        <w:t>；</w:t>
      </w:r>
      <w:r>
        <w:rPr>
          <w:rFonts w:hint="eastAsia"/>
          <w:i w:val="false"/>
          <w:strike w:val="false"/>
          <w:spacing w:val="0"/>
          <w:u w:val="none"/>
        </w:rPr>
        <w:t>检验检疫备案</w:t>
      </w:r>
      <w:r>
        <w:rPr>
          <w:rFonts w:hint="eastAsia"/>
          <w:i w:val="false"/>
          <w:strike w:val="false"/>
          <w:spacing w:val="0"/>
          <w:u w:val="none"/>
        </w:rPr>
        <w:t>；</w:t>
      </w:r>
      <w:r>
        <w:rPr>
          <w:rFonts w:hint="eastAsia"/>
          <w:i w:val="false"/>
          <w:strike w:val="false"/>
          <w:spacing w:val="0"/>
          <w:u w:val="none"/>
        </w:rPr>
        <w:t>开立外币账户；</w:t>
      </w:r>
    </w:p>
    <w:p>
      <w:pPr>
        <w:pBdr>
          <w:bottom/>
        </w:pBdr>
        <w:snapToGrid/>
        <w:spacing w:line="240"/>
        <w:ind/>
        <w:rPr>
          <w:rFonts w:hint="eastAsia"/>
          <w:i w:val="false"/>
          <w:strike w:val="false"/>
          <w:spacing w:val="0"/>
          <w:u w:val="none"/>
        </w:rPr>
      </w:pPr>
      <w:r>
        <w:rPr>
          <w:rFonts w:hint="eastAsia"/>
          <w:i w:val="false"/>
          <w:strike w:val="false"/>
          <w:spacing w:val="0"/>
          <w:u w:val="none"/>
        </w:rPr>
        <w:t>-报关出口并取得退税单据（如报关单、出口发票、进项发票及提单、合同等）。</w:t>
      </w:r>
    </w:p>
    <w:p>
      <w:pPr>
        <w:pBdr>
          <w:bottom/>
        </w:pBdr>
        <w:snapToGrid/>
        <w:spacing w:line="240"/>
        <w:ind/>
        <w:rPr>
          <w:rFonts w:hint="eastAsia"/>
          <w:i w:val="false"/>
          <w:strike w:val="false"/>
          <w:spacing w:val="0"/>
          <w:u w:val="none"/>
        </w:rPr>
      </w:pPr>
      <w:r>
        <w:rPr>
          <w:rFonts w:hint="eastAsia"/>
          <w:i w:val="false"/>
          <w:strike w:val="false"/>
          <w:spacing w:val="0"/>
          <w:u w:val="none"/>
        </w:rPr>
        <w:t>-记账并申报增值税；</w:t>
      </w:r>
    </w:p>
    <w:p>
      <w:pPr>
        <w:pBdr>
          <w:bottom/>
        </w:pBdr>
        <w:snapToGrid/>
        <w:spacing w:line="240"/>
        <w:ind/>
        <w:rPr>
          <w:rFonts w:hint="eastAsia"/>
          <w:i w:val="false"/>
          <w:strike w:val="false"/>
          <w:spacing w:val="0"/>
          <w:u w:val="none"/>
        </w:rPr>
      </w:pPr>
      <w:r>
        <w:rPr>
          <w:rFonts w:hint="eastAsia"/>
          <w:i w:val="false"/>
          <w:strike w:val="false"/>
          <w:spacing w:val="0"/>
          <w:u w:val="none"/>
        </w:rPr>
        <w:t>-在税局办理出口退（免）税备案；</w:t>
      </w:r>
    </w:p>
    <w:p>
      <w:pPr>
        <w:pBdr>
          <w:bottom/>
        </w:pBdr>
        <w:snapToGrid/>
        <w:spacing w:line="240"/>
        <w:ind/>
        <w:rPr>
          <w:rFonts w:hint="eastAsia"/>
          <w:i w:val="false"/>
          <w:strike w:val="false"/>
          <w:spacing w:val="0"/>
          <w:u w:val="none"/>
        </w:rPr>
      </w:pPr>
      <w:r>
        <w:rPr>
          <w:rFonts w:hint="eastAsia"/>
          <w:i w:val="false"/>
          <w:strike w:val="false"/>
          <w:spacing w:val="0"/>
          <w:u w:val="none"/>
        </w:rPr>
        <w:t>-在退税申报系统录入数据并自检；</w:t>
      </w:r>
    </w:p>
    <w:p>
      <w:pPr>
        <w:pBdr/>
        <w:snapToGrid/>
        <w:spacing w:line="240"/>
        <w:ind/>
        <w:rPr>
          <w:rFonts w:hint="eastAsia"/>
          <w:i w:val="false"/>
          <w:strike w:val="false"/>
          <w:spacing w:val="0"/>
          <w:u w:val="none"/>
        </w:rPr>
      </w:pPr>
      <w:r>
        <w:rPr>
          <w:rFonts w:hint="eastAsia"/>
          <w:i w:val="false"/>
          <w:strike w:val="false"/>
          <w:spacing w:val="0"/>
          <w:u w:val="none"/>
        </w:rPr>
        <w:t>-调整数据无误后正式申报（生产企业需先完成增值税纳税申报）；打印报表送税局（无纸化退税的可留存）；最后收到退税款。</w:t>
      </w:r>
    </w:p>
    <w:p>
      <w:pPr>
        <w:pBdr>
          <w:bottom/>
        </w:pBdr>
        <w:snapToGrid/>
        <w:spacing w:line="240"/>
        <w:ind/>
        <w:rPr>
          <w:rFonts w:hint="eastAsia"/>
          <w:i w:val="false"/>
          <w:strike w:val="false"/>
          <w:spacing w:val="0"/>
          <w:u w:val="none"/>
        </w:rPr>
      </w:pPr>
      <w:r>
        <w:rPr>
          <w:rFonts w:hint="eastAsia"/>
          <w:i w:val="false"/>
          <w:strike w:val="false"/>
          <w:spacing w:val="0"/>
          <w:u w:val="none"/>
        </w:rPr>
        <w:t>注</w:t>
      </w:r>
      <w:r>
        <w:rPr>
          <w:rFonts w:hint="eastAsia"/>
          <w:i w:val="false"/>
          <w:strike w:val="false"/>
          <w:spacing w:val="0"/>
          <w:u w:val="none"/>
        </w:rPr>
        <w:t>：</w:t>
      </w:r>
      <w:r>
        <w:rPr>
          <w:rFonts w:hint="eastAsia"/>
          <w:i w:val="false"/>
          <w:strike w:val="false"/>
          <w:spacing w:val="0"/>
          <w:u w:val="none"/>
        </w:rPr>
        <w:t>企业应在货物报关出口之日次月起至次年 4 月 30 日前，在各增值税纳税申报期内收齐有关凭证，向主管税务机关申报办理出口货物增值税免抵退税及消费税退税；同时需在出口退（免）税申报期截止之日前完成收汇，若无法完成收汇，已退税款将被税务机关追回。</w:t>
      </w:r>
    </w:p>
    <w:p>
      <w:pPr>
        <w:pBdr>
          <w:bottom/>
        </w:pBdr>
        <w:snapToGrid/>
        <w:spacing w:line="240"/>
        <w:ind/>
        <w:rPr/>
      </w:pPr>
      <w:r>
        <w:rPr>
          <w:rFonts w:hint="eastAsia"/>
        </w:rPr>
        <w:t>（</w:t>
      </w:r>
      <w:r>
        <w:rPr>
          <w:rFonts w:hint="eastAsia"/>
        </w:rPr>
        <w:t>2</w:t>
      </w:r>
      <w:r>
        <w:rPr>
          <w:rFonts w:hint="eastAsia"/>
        </w:rPr>
        <w:t>）</w:t>
      </w:r>
      <w:r>
        <w:rPr>
          <w:rFonts w:hint="eastAsia"/>
        </w:rPr>
        <w:t>全托</w:t>
      </w:r>
      <w:r>
        <w:rPr>
          <w:rFonts w:hint="eastAsia"/>
        </w:rPr>
        <w:t>管</w:t>
      </w:r>
      <w:r>
        <w:rPr>
          <w:rFonts w:hint="eastAsia"/>
        </w:rPr>
        <w:t>模式</w:t>
      </w:r>
    </w:p>
    <w:p>
      <w:pPr>
        <w:pBdr>
          <w:bottom/>
        </w:pBdr>
        <w:snapToGrid/>
        <w:spacing w:line="240"/>
        <w:ind/>
        <w:rPr/>
      </w:pPr>
      <w:r>
        <w:rPr>
          <w:i w:val="false"/>
          <w:strike w:val="false"/>
          <w:spacing w:val="0"/>
          <w:u w:val="none"/>
        </w:rPr>
        <w:t>全托管模式下，平台内商家是跨境平台的国内供应商，商家收取的结算金额应该向跨境平台开具货物销售发票（或者作为无票供应商）</w:t>
      </w:r>
      <w:r>
        <w:rPr>
          <w:rFonts w:hint="eastAsia"/>
          <w:i w:val="false"/>
          <w:strike w:val="false"/>
          <w:spacing w:val="0"/>
          <w:u w:val="none"/>
        </w:rPr>
        <w:t>，</w:t>
      </w:r>
      <w:r>
        <w:rPr>
          <w:rFonts w:hint="eastAsia"/>
          <w:i w:val="false"/>
          <w:strike w:val="false"/>
          <w:spacing w:val="0"/>
          <w:u w:val="none"/>
        </w:rPr>
        <w:t>由</w:t>
      </w:r>
      <w:r>
        <w:rPr>
          <w:rFonts w:hint="eastAsia"/>
          <w:i w:val="false"/>
          <w:strike w:val="false"/>
          <w:spacing w:val="0"/>
          <w:u w:val="none"/>
        </w:rPr>
        <w:t>平台</w:t>
      </w:r>
      <w:r>
        <w:rPr>
          <w:rFonts w:hint="eastAsia"/>
          <w:i w:val="false"/>
          <w:strike w:val="false"/>
          <w:spacing w:val="0"/>
          <w:u w:val="none"/>
        </w:rPr>
        <w:t>集中</w:t>
      </w:r>
      <w:r>
        <w:rPr>
          <w:rFonts w:hint="eastAsia"/>
          <w:i w:val="false"/>
          <w:strike w:val="false"/>
          <w:spacing w:val="0"/>
          <w:u w:val="none"/>
        </w:rPr>
        <w:t>报关</w:t>
      </w:r>
      <w:r>
        <w:rPr>
          <w:rFonts w:hint="eastAsia"/>
          <w:i w:val="false"/>
          <w:strike w:val="false"/>
          <w:spacing w:val="0"/>
          <w:u w:val="none"/>
        </w:rPr>
        <w:t>。</w:t>
      </w:r>
      <w:r>
        <w:rPr>
          <w:rFonts w:hint="eastAsia"/>
          <w:i w:val="false"/>
          <w:strike w:val="false"/>
          <w:spacing w:val="0"/>
          <w:u w:val="none"/>
        </w:rPr>
        <w:t>由于</w:t>
      </w:r>
      <w:r>
        <w:rPr>
          <w:rFonts w:hint="eastAsia"/>
          <w:i w:val="false"/>
          <w:strike w:val="false"/>
          <w:spacing w:val="0"/>
          <w:u w:val="none"/>
        </w:rPr>
        <w:t>集中</w:t>
      </w:r>
      <w:r>
        <w:rPr>
          <w:rFonts w:hint="eastAsia"/>
          <w:i w:val="false"/>
          <w:strike w:val="false"/>
          <w:spacing w:val="0"/>
          <w:u w:val="none"/>
        </w:rPr>
        <w:t>报关</w:t>
      </w:r>
      <w:r>
        <w:rPr>
          <w:rFonts w:hint="eastAsia"/>
          <w:i w:val="false"/>
          <w:strike w:val="false"/>
          <w:spacing w:val="0"/>
          <w:u w:val="none"/>
        </w:rPr>
        <w:t>方式</w:t>
      </w:r>
      <w:r>
        <w:rPr>
          <w:rFonts w:hint="eastAsia"/>
          <w:i w:val="false"/>
          <w:strike w:val="false"/>
          <w:spacing w:val="0"/>
          <w:u w:val="none"/>
        </w:rPr>
        <w:t>出口</w:t>
      </w:r>
      <w:r>
        <w:rPr>
          <w:rFonts w:hint="eastAsia"/>
          <w:i w:val="false"/>
          <w:strike w:val="false"/>
          <w:spacing w:val="0"/>
          <w:u w:val="none"/>
        </w:rPr>
        <w:t>的</w:t>
      </w:r>
      <w:r>
        <w:rPr>
          <w:rFonts w:hint="eastAsia"/>
          <w:i w:val="false"/>
          <w:strike w:val="false"/>
          <w:spacing w:val="0"/>
          <w:u w:val="none"/>
        </w:rPr>
        <w:t>货物</w:t>
      </w:r>
      <w:r>
        <w:rPr>
          <w:rFonts w:hint="eastAsia"/>
          <w:i w:val="false"/>
          <w:strike w:val="false"/>
          <w:spacing w:val="0"/>
          <w:u w:val="none"/>
        </w:rPr>
        <w:t>，</w:t>
      </w:r>
      <w:r>
        <w:rPr>
          <w:i w:val="false"/>
          <w:strike w:val="false"/>
          <w:spacing w:val="0"/>
          <w:u w:val="none"/>
        </w:rPr>
        <w:t>不会有企业的报关单和报关信息的，因此无法享受出口免税或出口退税，需视同内销征税处理</w:t>
      </w:r>
      <w:r>
        <w:rPr>
          <w:rFonts w:hint="eastAsia"/>
          <w:i w:val="false"/>
          <w:strike w:val="false"/>
          <w:spacing w:val="0"/>
          <w:u w:val="none"/>
        </w:rPr>
        <w:t>。</w:t>
      </w:r>
    </w:p>
    <w:p>
      <w:pPr>
        <w:pStyle w:val="ablt93"/>
        <w:numPr>
          <w:ilvl w:val="0"/>
          <w:numId w:val="2"/>
        </w:numPr>
        <w:pBdr/>
        <w:rPr>
          <w:rFonts w:hint="eastAsia"/>
          <w:b/>
        </w:rPr>
      </w:pPr>
      <w:r>
        <w:rPr>
          <w:rFonts w:hint="eastAsia"/>
          <w:b/>
        </w:rPr>
        <w:t>出口监管模式</w:t>
      </w:r>
    </w:p>
    <w:p>
      <w:pPr>
        <w:snapToGrid/>
        <w:spacing w:line="240"/>
        <w:ind/>
        <w:rPr/>
      </w:pPr>
      <w:r>
        <w:rPr>
          <w:i w:val="false"/>
          <w:strike w:val="false"/>
          <w:spacing w:val="0"/>
          <w:u w:val="none"/>
        </w:rPr>
        <w:t>跨境电商出口监管模式包括</w:t>
      </w:r>
      <w:r>
        <w:rPr>
          <w:rFonts w:hint="eastAsia"/>
          <w:i w:val="false"/>
          <w:strike w:val="false"/>
          <w:spacing w:val="0"/>
          <w:u w:val="none"/>
        </w:rPr>
        <w:t>以下</w:t>
      </w:r>
      <w:r>
        <w:rPr>
          <w:rFonts w:hint="eastAsia"/>
          <w:i w:val="false"/>
          <w:strike w:val="false"/>
          <w:spacing w:val="0"/>
          <w:u w:val="none"/>
        </w:rPr>
        <w:t>几</w:t>
      </w:r>
      <w:r>
        <w:rPr>
          <w:rFonts w:hint="eastAsia"/>
          <w:i w:val="false"/>
          <w:strike w:val="false"/>
          <w:spacing w:val="0"/>
          <w:u w:val="none"/>
        </w:rPr>
        <w:t>类</w:t>
      </w:r>
      <w:r>
        <w:rPr>
          <w:rFonts w:hint="eastAsia"/>
          <w:i w:val="false"/>
          <w:strike w:val="false"/>
          <w:spacing w:val="0"/>
          <w:u w:val="none"/>
        </w:rPr>
        <w:t>：</w:t>
      </w:r>
    </w:p>
    <w:p>
      <w:pPr>
        <w:snapToGrid/>
        <w:spacing w:line="240"/>
        <w:ind/>
        <w:rPr/>
      </w:pPr>
      <w:r>
        <w:rPr>
          <w:rFonts w:hint="eastAsia"/>
          <w:i w:val="false"/>
          <w:strike w:val="false"/>
          <w:spacing w:val="0"/>
          <w:u w:val="none"/>
        </w:rPr>
        <w:t>（</w:t>
      </w:r>
      <w:r>
        <w:rPr>
          <w:rFonts w:hint="eastAsia"/>
          <w:i w:val="false"/>
          <w:strike w:val="false"/>
          <w:spacing w:val="0"/>
          <w:u w:val="none"/>
        </w:rPr>
        <w:t>1</w:t>
      </w:r>
      <w:r>
        <w:rPr>
          <w:rFonts w:hint="eastAsia"/>
          <w:i w:val="false"/>
          <w:strike w:val="false"/>
          <w:spacing w:val="0"/>
          <w:u w:val="none"/>
        </w:rPr>
        <w:t>）</w:t>
      </w:r>
      <w:r>
        <w:rPr>
          <w:i w:val="false"/>
          <w:strike w:val="false"/>
          <w:spacing w:val="0"/>
          <w:u w:val="none"/>
        </w:rPr>
        <w:t>0110（一般贸易）：指具备进出口经营权的企业进行单边进口或出口货物的贸易方式，交易方式为 B2B。适用免抵退税或者免退税政策，需要取得合规报关单、收汇凭证、进项发票，退税率根据商品编码确定。</w:t>
      </w:r>
    </w:p>
    <w:p>
      <w:pPr>
        <w:snapToGrid/>
        <w:spacing w:line="240"/>
        <w:ind/>
        <w:rPr/>
      </w:pPr>
      <w:r>
        <w:rPr>
          <w:rFonts w:hint="eastAsia"/>
          <w:i w:val="false"/>
          <w:strike w:val="false"/>
          <w:spacing w:val="0"/>
          <w:u w:val="none"/>
        </w:rPr>
        <w:t>（</w:t>
      </w:r>
      <w:r>
        <w:rPr>
          <w:rFonts w:hint="eastAsia"/>
          <w:i w:val="false"/>
          <w:strike w:val="false"/>
          <w:spacing w:val="0"/>
          <w:u w:val="none"/>
        </w:rPr>
        <w:t>2</w:t>
      </w:r>
      <w:r>
        <w:rPr>
          <w:rFonts w:hint="eastAsia"/>
          <w:i w:val="false"/>
          <w:strike w:val="false"/>
          <w:spacing w:val="0"/>
          <w:u w:val="none"/>
        </w:rPr>
        <w:t>）</w:t>
      </w:r>
      <w:r>
        <w:rPr>
          <w:i w:val="false"/>
          <w:strike w:val="false"/>
          <w:spacing w:val="0"/>
          <w:u w:val="none"/>
        </w:rPr>
        <w:t>9610（跨境电商零售）：境内企业通过电商平台实现交易，由跨境电商卖家将货物直接邮寄发给境外消费者，交易方式为B2C。该模式海关监管方式全称 “跨境贸易电子商务”，俗称 “集货报关” 模式，适用于境内电商企业通过电商平台实现B2C交易，并由电商企业采用 “清单核放、汇总申报” 模式自行办理通关手续的电子商务零售出口商品，亚马逊、速卖通、Shopify 等平台主要采用此模式。</w:t>
      </w:r>
    </w:p>
    <w:p>
      <w:pPr>
        <w:snapToGrid/>
        <w:spacing w:line="240"/>
        <w:ind/>
        <w:rPr>
          <w:shd w:val="clear" w:color="auto" w:fill="FFF9E3"/>
        </w:rPr>
      </w:pPr>
      <w:r>
        <w:rPr>
          <w:rFonts w:hint="eastAsia"/>
          <w:i w:val="false"/>
          <w:strike w:val="false"/>
          <w:spacing w:val="0"/>
          <w:u w:val="none"/>
        </w:rPr>
        <w:t>（</w:t>
      </w:r>
      <w:r>
        <w:rPr>
          <w:rFonts w:hint="eastAsia"/>
          <w:i w:val="false"/>
          <w:strike w:val="false"/>
          <w:spacing w:val="0"/>
          <w:u w:val="none"/>
        </w:rPr>
        <w:t>3</w:t>
      </w:r>
      <w:r>
        <w:rPr>
          <w:rFonts w:hint="eastAsia"/>
          <w:i w:val="false"/>
          <w:strike w:val="false"/>
          <w:spacing w:val="0"/>
          <w:u w:val="none"/>
        </w:rPr>
        <w:t>）</w:t>
      </w:r>
      <w:r>
        <w:rPr>
          <w:i w:val="false"/>
          <w:strike w:val="false"/>
          <w:spacing w:val="0"/>
          <w:u w:val="none"/>
        </w:rPr>
        <w:t>9710（跨境电商B2B）：境内企业通过跨境电商平台与境外企业达成交易后，通过跨境物流将货物直接出口至境外企业，交易方式为B2B。</w:t>
      </w:r>
      <w:r>
        <w:rPr>
          <w:i w:val="false"/>
          <w:strike w:val="false"/>
          <w:spacing w:val="0"/>
          <w:u w:val="none"/>
          <w:shd w:val="clear" w:color="auto" w:fill="FFF9E3"/>
        </w:rPr>
        <w:t>通常报关方式可以选择传统的一般</w:t>
      </w:r>
      <w:r>
        <w:rPr>
          <w:rFonts w:hint="eastAsia"/>
          <w:i w:val="false"/>
          <w:strike w:val="false"/>
          <w:spacing w:val="0"/>
          <w:u w:val="none"/>
          <w:shd w:val="clear" w:color="auto" w:fill="FFF9E3"/>
        </w:rPr>
        <w:t>报关方式，</w:t>
      </w:r>
      <w:r>
        <w:rPr>
          <w:i w:val="false"/>
          <w:strike w:val="false"/>
          <w:spacing w:val="0"/>
          <w:u w:val="none"/>
          <w:shd w:val="clear" w:color="auto" w:fill="FFF9E3"/>
        </w:rPr>
        <w:t>也可以实行“清单核放、汇总申报”。</w:t>
      </w:r>
    </w:p>
    <w:p>
      <w:pPr>
        <w:snapToGrid/>
        <w:spacing w:line="240"/>
        <w:ind/>
        <w:rPr/>
      </w:pPr>
      <w:r>
        <w:rPr>
          <w:rFonts w:hint="eastAsia"/>
          <w:i w:val="false"/>
          <w:strike w:val="false"/>
          <w:spacing w:val="0"/>
          <w:u w:val="none"/>
        </w:rPr>
        <w:t>（</w:t>
      </w:r>
      <w:r>
        <w:rPr>
          <w:rFonts w:hint="eastAsia"/>
          <w:i w:val="false"/>
          <w:strike w:val="false"/>
          <w:spacing w:val="0"/>
          <w:u w:val="none"/>
        </w:rPr>
        <w:t>4</w:t>
      </w:r>
      <w:r>
        <w:rPr>
          <w:rFonts w:hint="eastAsia"/>
          <w:i w:val="false"/>
          <w:strike w:val="false"/>
          <w:spacing w:val="0"/>
          <w:u w:val="none"/>
        </w:rPr>
        <w:t>）</w:t>
      </w:r>
      <w:r>
        <w:rPr>
          <w:i w:val="false"/>
          <w:strike w:val="false"/>
          <w:spacing w:val="0"/>
          <w:u w:val="none"/>
        </w:rPr>
        <w:t>9810（跨境电商海外仓）：境内跨境电商企业将货物批量出口至海外仓，通过跨境电商平台完成在线交易，再由海外仓送达境外消费者手中，交易方式为B2B2C。该模式下，在货物报关离境后，即可申报办理出口退 (免) 税；办理出口退 (免) 税申报时，货物已实现销售的，按现行规定申报办理出口退 (免) 税；货物尚未实现销售的，按照 “离境即退税、销售再核算” 方式申报，即在货物报关离境后即可预先申报出口预退税，后续再根据货物销售情况进行税款核算。</w:t>
      </w:r>
    </w:p>
    <w:p>
      <w:pPr>
        <w:snapToGrid/>
        <w:spacing w:line="240"/>
        <w:ind/>
        <w:rPr/>
      </w:pPr>
      <w:r>
        <w:rPr>
          <w:rFonts w:hint="eastAsia"/>
          <w:i w:val="false"/>
          <w:strike w:val="false"/>
          <w:spacing w:val="0"/>
          <w:u w:val="none"/>
        </w:rPr>
        <w:t>（</w:t>
      </w:r>
      <w:r>
        <w:rPr>
          <w:rFonts w:hint="eastAsia"/>
          <w:i w:val="false"/>
          <w:strike w:val="false"/>
          <w:spacing w:val="0"/>
          <w:u w:val="none"/>
        </w:rPr>
        <w:t>5</w:t>
      </w:r>
      <w:r>
        <w:rPr>
          <w:rFonts w:hint="eastAsia"/>
          <w:i w:val="false"/>
          <w:strike w:val="false"/>
          <w:spacing w:val="0"/>
          <w:u w:val="none"/>
        </w:rPr>
        <w:t>）</w:t>
      </w:r>
      <w:r>
        <w:rPr>
          <w:i w:val="false"/>
          <w:strike w:val="false"/>
          <w:spacing w:val="0"/>
          <w:u w:val="none"/>
        </w:rPr>
        <w:t>1210（跨境电商保税出口）：境内企业或者个人在经海关认可的电商平台实现跨境交易，并通过海关特殊监管区域或保税监管场所进出的电商零售进出境商品，交易方式为B2C/C2C。依托 1210 海关监管模式，Temu 推出面向商家的全托管模式，国内企业可根据海外市场预期，将商品提前备货进入综保区进行保税仓储，然后在电商平台上架销售、分批零售出口。相比跨境电商出口海外仓模式（9810），1210 模式具有入区即退税、配送时效高、退换成本低等优势，货物可整批进、分包裹出，能有效降低海外库存风险，大幅提升跨境电商出口在物流成本、时效等方面的竞争力。</w:t>
      </w:r>
    </w:p>
    <w:p>
      <w:pPr>
        <w:pStyle w:val="ablt93"/>
        <w:pBdr/>
        <w:ind w:left="0"/>
        <w:rPr>
          <w:rFonts w:hint="eastAsia"/>
          <w:i w:val="false"/>
          <w:strike w:val="false"/>
          <w:spacing w:val="0"/>
          <w:u w:val="none"/>
        </w:rPr>
      </w:pPr>
      <w:r>
        <w:rPr>
          <w:rFonts w:hint="eastAsia"/>
          <w:i w:val="false"/>
          <w:strike w:val="false"/>
          <w:spacing w:val="0"/>
          <w:u w:val="none"/>
        </w:rPr>
        <w:t>（</w:t>
      </w:r>
      <w:r>
        <w:rPr>
          <w:rFonts w:hint="eastAsia"/>
          <w:i w:val="false"/>
          <w:strike w:val="false"/>
          <w:spacing w:val="0"/>
          <w:u w:val="none"/>
        </w:rPr>
        <w:t>6</w:t>
      </w:r>
      <w:r>
        <w:rPr>
          <w:rFonts w:hint="eastAsia"/>
          <w:i w:val="false"/>
          <w:strike w:val="false"/>
          <w:spacing w:val="0"/>
          <w:u w:val="none"/>
        </w:rPr>
        <w:t>）</w:t>
      </w:r>
      <w:r>
        <w:rPr>
          <w:i w:val="false"/>
          <w:strike w:val="false"/>
          <w:spacing w:val="0"/>
          <w:u w:val="none"/>
        </w:rPr>
        <w:t>1039（市场采购贸易）：由符合条件的经营者在经认定的市场集聚区内采购的、单票报关单货值不超过15万美元、并在指定口岸办理出口商品通关手续的贸易方式，交易方式为 B2B。1039主体须在经认定的市场集聚区（如义乌国际商贸城、广州花都皮革皮具城等）注册登记，取得市场采购贸易经营者资质，并完成海关、税务、外汇等部门备案；无需取得增值税进项发票，仅凭市场采购贸易联网信息平台的交易数据、报关单、物流凭证等，即可享受出口免税</w:t>
      </w:r>
      <w:r>
        <w:rPr>
          <w:rFonts w:hint="eastAsia"/>
          <w:i w:val="false"/>
          <w:strike w:val="false"/>
          <w:spacing w:val="0"/>
          <w:u w:val="none"/>
        </w:rPr>
        <w:t>。</w:t>
      </w:r>
    </w:p>
    <w:p>
      <w:pPr>
        <w:pStyle w:val="ablt93"/>
        <w:numPr>
          <w:ilvl w:val="0"/>
          <w:numId w:val="2"/>
        </w:numPr>
        <w:pBdr/>
        <w:ind/>
        <w:rPr>
          <w:rFonts w:hint="eastAsia"/>
          <w:b/>
        </w:rPr>
      </w:pPr>
      <w:r>
        <w:rPr>
          <w:rFonts w:hint="eastAsia"/>
          <w:b/>
        </w:rPr>
        <w:t>跨境</w:t>
      </w:r>
      <w:r>
        <w:rPr>
          <w:rFonts w:hint="eastAsia"/>
          <w:b/>
        </w:rPr>
        <w:t>电商</w:t>
      </w:r>
      <w:r>
        <w:rPr>
          <w:rFonts w:hint="eastAsia"/>
          <w:b/>
        </w:rPr>
        <w:t>的</w:t>
      </w:r>
      <w:r>
        <w:rPr>
          <w:rFonts w:hint="eastAsia"/>
          <w:b/>
        </w:rPr>
        <w:t>增值税免税标准</w:t>
      </w:r>
    </w:p>
    <w:p>
      <w:pPr>
        <w:pStyle w:val="ablt93"/>
        <w:pBdr/>
        <w:ind w:left="0"/>
        <w:rPr>
          <w:rFonts w:hint="eastAsia"/>
          <w:i w:val="false"/>
          <w:strike w:val="false"/>
          <w:spacing w:val="0"/>
          <w:u w:val="none"/>
        </w:rPr>
      </w:pPr>
      <w:r>
        <w:rPr>
          <w:i w:val="false"/>
          <w:strike w:val="false"/>
          <w:spacing w:val="0"/>
          <w:u w:val="none"/>
        </w:rPr>
        <w:t>增值税免税标准（即小规模纳税人免税政策的销售额标准）只看内销收入，不看外销收入。自2026年1月1日至2027年12月31日，</w:t>
      </w:r>
      <w:r>
        <w:rPr>
          <w:rFonts w:hint="eastAsia"/>
          <w:i w:val="false"/>
          <w:strike w:val="false"/>
          <w:spacing w:val="0"/>
          <w:u w:val="none"/>
        </w:rPr>
        <w:t>小规模</w:t>
      </w:r>
      <w:r>
        <w:rPr>
          <w:rFonts w:hint="eastAsia"/>
          <w:i w:val="false"/>
          <w:strike w:val="false"/>
          <w:spacing w:val="0"/>
          <w:u w:val="none"/>
        </w:rPr>
        <w:t>纳税人</w:t>
      </w:r>
      <w:r>
        <w:rPr>
          <w:rFonts w:hint="eastAsia"/>
          <w:i w:val="false"/>
          <w:strike w:val="false"/>
          <w:spacing w:val="0"/>
          <w:u w:val="none"/>
        </w:rPr>
        <w:t>的</w:t>
      </w:r>
      <w:r>
        <w:rPr>
          <w:i w:val="false"/>
          <w:strike w:val="false"/>
          <w:spacing w:val="0"/>
          <w:u w:val="none"/>
        </w:rPr>
        <w:t>起征点为月销售额10万元</w:t>
      </w:r>
      <w:r>
        <w:rPr>
          <w:rFonts w:hint="eastAsia"/>
          <w:i w:val="false"/>
          <w:strike w:val="false"/>
          <w:spacing w:val="0"/>
          <w:u w:val="none"/>
        </w:rPr>
        <w:t>或</w:t>
      </w:r>
      <w:r>
        <w:rPr>
          <w:rFonts w:hint="eastAsia"/>
          <w:i w:val="false"/>
          <w:strike w:val="false"/>
          <w:spacing w:val="0"/>
          <w:u w:val="none"/>
        </w:rPr>
        <w:t>季度</w:t>
      </w:r>
      <w:r>
        <w:rPr>
          <w:rFonts w:hint="eastAsia"/>
          <w:i w:val="false"/>
          <w:strike w:val="false"/>
          <w:spacing w:val="0"/>
          <w:u w:val="none"/>
        </w:rPr>
        <w:t>销售</w:t>
      </w:r>
      <w:r>
        <w:rPr>
          <w:rFonts w:hint="eastAsia"/>
          <w:i w:val="false"/>
          <w:strike w:val="false"/>
          <w:spacing w:val="0"/>
          <w:u w:val="none"/>
        </w:rPr>
        <w:t>额</w:t>
      </w:r>
      <w:r>
        <w:rPr>
          <w:rFonts w:hint="eastAsia"/>
          <w:i w:val="false"/>
          <w:strike w:val="false"/>
          <w:spacing w:val="0"/>
          <w:u w:val="none"/>
        </w:rPr>
        <w:t>3</w:t>
      </w:r>
      <w:r>
        <w:rPr>
          <w:rFonts w:hint="eastAsia"/>
          <w:i w:val="false"/>
          <w:strike w:val="false"/>
          <w:spacing w:val="0"/>
          <w:u w:val="none"/>
        </w:rPr>
        <w:t>0</w:t>
      </w:r>
      <w:r>
        <w:rPr>
          <w:rFonts w:hint="eastAsia"/>
          <w:i w:val="false"/>
          <w:strike w:val="false"/>
          <w:spacing w:val="0"/>
          <w:u w:val="none"/>
        </w:rPr>
        <w:t>万</w:t>
      </w:r>
      <w:r>
        <w:rPr>
          <w:rFonts w:hint="eastAsia"/>
          <w:i w:val="false"/>
          <w:strike w:val="false"/>
          <w:spacing w:val="0"/>
          <w:u w:val="none"/>
          <w:shd w:val="clear" w:color="auto" w:fill="FFF9E3"/>
        </w:rPr>
        <w:t>（</w:t>
      </w:r>
      <w:r>
        <w:rPr>
          <w:i w:val="false"/>
          <w:strike w:val="false"/>
          <w:spacing w:val="0"/>
          <w:u w:val="none"/>
          <w:shd w:val="clear" w:color="auto" w:fill="FFF9E3"/>
        </w:rPr>
        <w:t>月销售</w:t>
      </w:r>
      <w:r>
        <w:rPr>
          <w:rFonts w:hint="eastAsia"/>
          <w:i w:val="false"/>
          <w:strike w:val="false"/>
          <w:spacing w:val="0"/>
          <w:u w:val="none"/>
          <w:shd w:val="clear" w:color="auto" w:fill="FFF9E3"/>
        </w:rPr>
        <w:t>额大于等于</w:t>
      </w:r>
      <w:r>
        <w:rPr>
          <w:i w:val="false"/>
          <w:strike w:val="false"/>
          <w:spacing w:val="0"/>
          <w:u w:val="none"/>
          <w:shd w:val="clear" w:color="auto" w:fill="FFF9E3"/>
        </w:rPr>
        <w:t>10万元或者季度销售额</w:t>
      </w:r>
      <w:r>
        <w:rPr>
          <w:rFonts w:hint="eastAsia"/>
          <w:i w:val="false"/>
          <w:strike w:val="false"/>
          <w:spacing w:val="0"/>
          <w:u w:val="none"/>
          <w:shd w:val="clear" w:color="auto" w:fill="FFF9E3"/>
        </w:rPr>
        <w:t>大于等于</w:t>
      </w:r>
      <w:r>
        <w:rPr>
          <w:i w:val="false"/>
          <w:strike w:val="false"/>
          <w:spacing w:val="0"/>
          <w:u w:val="none"/>
          <w:shd w:val="clear" w:color="auto" w:fill="FFF9E3"/>
        </w:rPr>
        <w:t>30万元</w:t>
      </w:r>
      <w:r>
        <w:rPr>
          <w:rFonts w:hint="eastAsia"/>
          <w:i w:val="false"/>
          <w:strike w:val="false"/>
          <w:spacing w:val="0"/>
          <w:u w:val="none"/>
          <w:shd w:val="clear" w:color="auto" w:fill="FFF9E3"/>
        </w:rPr>
        <w:t>时缴纳增值税）</w:t>
      </w:r>
      <w:r>
        <w:rPr>
          <w:rFonts w:hint="eastAsia"/>
          <w:i w:val="false"/>
          <w:strike w:val="false"/>
          <w:spacing w:val="0"/>
          <w:u w:val="none"/>
        </w:rPr>
        <w:t>。</w:t>
      </w:r>
      <w:r>
        <w:rPr>
          <w:i w:val="false"/>
          <w:strike w:val="false"/>
          <w:spacing w:val="0"/>
          <w:u w:val="none"/>
        </w:rPr>
        <w:t>参考《财政部 税务总局关于增值税法施行后增值税优惠政策衔接事项的公告》（财政部 税务总局公告2026年第10号）第一条。而小规模纳税人的出口免税政策是与小规模纳税人身份有关，无销售额门槛限制，政策文件参考《财政部 税务总局关于出口业务增值税和消费税政策的公告》（财政部 税务总局公告2026年第11号）第六条第一款。</w:t>
      </w:r>
    </w:p>
    <w:p>
      <w:pPr>
        <w:pStyle w:val="plwtxr"/>
        <w:rPr>
          <w:shd w:val="clear" w:color="auto" w:fill="auto"/>
        </w:rPr>
      </w:pPr>
      <w:r>
        <w:rPr>
          <w:shd w:val="clear" w:color="auto" w:fill="auto"/>
        </w:rPr>
        <w:t xml:space="preserve">## </w:t>
      </w:r>
      <w:r>
        <w:rPr>
          <w:rFonts w:hint="eastAsia"/>
          <w:shd w:val="clear" w:color="auto" w:fill="auto"/>
        </w:rPr>
        <w:t>六</w:t>
      </w:r>
      <w:r>
        <w:rPr>
          <w:shd w:val="clear" w:color="auto" w:fill="auto"/>
        </w:rPr>
        <w:t>、税务自查与风险应对关键点</w:t>
      </w:r>
    </w:p>
    <w:p>
      <w:pPr>
        <w:snapToGrid/>
        <w:spacing w:line="240"/>
        <w:ind/>
        <w:rPr>
          <w:shd w:val="clear" w:color="auto" w:fill="auto"/>
        </w:rPr>
      </w:pPr>
      <w:r>
        <w:rPr>
          <w:i w:val="false"/>
          <w:strike w:val="false"/>
          <w:spacing w:val="0"/>
          <w:u w:val="none"/>
          <w:shd w:val="clear" w:color="auto" w:fill="auto"/>
        </w:rPr>
        <w:t>本模块涵盖电商企业面临税务自查时的标准化应对方案：</w:t>
      </w:r>
    </w:p>
    <w:p>
      <w:pPr>
        <w:snapToGrid/>
        <w:spacing w:line="240"/>
        <w:ind/>
        <w:rPr>
          <w:shd w:val="clear" w:color="auto" w:fill="auto"/>
        </w:rPr>
      </w:pPr>
      <w:r>
        <w:rPr>
          <w:i w:val="false"/>
          <w:strike w:val="false"/>
          <w:spacing w:val="0"/>
          <w:u w:val="none"/>
          <w:shd w:val="clear" w:color="auto" w:fill="auto"/>
        </w:rPr>
        <w:t>1. **收入端核减**：凭完整证据链剔除刷单、线下退货收入，按收入确认准则调整跨期、预售订单的收入确认期间，降低应税收入基数。</w:t>
      </w:r>
    </w:p>
    <w:p>
      <w:pPr>
        <w:snapToGrid/>
        <w:spacing w:line="240"/>
        <w:ind/>
        <w:rPr>
          <w:shd w:val="clear" w:color="auto" w:fill="auto"/>
        </w:rPr>
      </w:pPr>
      <w:r>
        <w:rPr>
          <w:i w:val="false"/>
          <w:strike w:val="false"/>
          <w:spacing w:val="0"/>
          <w:u w:val="none"/>
          <w:shd w:val="clear" w:color="auto" w:fill="auto"/>
        </w:rPr>
        <w:t>2. **成本端补足**：要求供应商、平台补开成本费用发票，补报账外支付的工资并利用个税专项附加扣除、年终奖单独计税等政策增加税前列支，将基础软件服务费从广宣费调整至技术服务费避免受15%/30%扣除限额限制，集团内可通过广宣费分摊协议调剂扣除额度。</w:t>
      </w:r>
    </w:p>
    <w:p>
      <w:pPr>
        <w:pStyle w:val="ablt93"/>
        <w:numPr>
          <w:ilvl w:val="0"/>
          <w:numId w:val="3"/>
        </w:numPr>
        <w:pBdr/>
        <w:ind/>
        <w:rPr>
          <w:i w:val="false"/>
          <w:strike w:val="false"/>
          <w:spacing w:val="0"/>
          <w:u w:val="none"/>
          <w:shd w:val="clear" w:color="auto" w:fill="auto"/>
        </w:rPr>
      </w:pPr>
      <w:r>
        <w:rPr>
          <w:i w:val="false"/>
          <w:strike w:val="false"/>
          <w:spacing w:val="0"/>
          <w:u w:val="none"/>
          <w:shd w:val="clear" w:color="auto" w:fill="auto"/>
        </w:rPr>
        <w:t>**优惠政策适用**：存在增值税留抵税额的可申请抵减增值税欠税及对应滞纳金，全额适用小规模免征、小微企业所得税优惠、跨境电商免税等政策降低税负。</w:t>
      </w:r>
    </w:p>
    <w:p>
      <w:pPr>
        <w:numPr>
          <w:ilvl w:val="0"/>
          <w:numId w:val="3"/>
        </w:numPr>
        <w:pBdr/>
        <w:snapToGrid/>
        <w:spacing w:line="240"/>
        <w:ind/>
        <w:rPr>
          <w:color w:val="0070C0"/>
          <w:shd w:val="clear" w:color="auto" w:fill="auto"/>
        </w:rPr>
      </w:pPr>
      <w:r>
        <w:rPr>
          <w:i w:val="false"/>
          <w:strike w:val="false"/>
          <w:color w:val="0070C0"/>
          <w:spacing w:val="0"/>
          <w:u w:val="none"/>
          <w:shd w:val="clear" w:color="auto" w:fill="auto"/>
        </w:rPr>
        <w:t>**</w:t>
      </w:r>
      <w:r>
        <w:rPr>
          <w:rFonts w:hint="eastAsia"/>
          <w:i w:val="false"/>
          <w:strike w:val="false"/>
          <w:color w:val="0070C0"/>
          <w:spacing w:val="0"/>
          <w:u w:val="none"/>
          <w:shd w:val="clear" w:color="auto" w:fill="auto"/>
        </w:rPr>
        <w:t>电商行业</w:t>
      </w:r>
      <w:r>
        <w:rPr>
          <w:i w:val="false"/>
          <w:strike w:val="false"/>
          <w:color w:val="0070C0"/>
          <w:spacing w:val="0"/>
          <w:u w:val="none"/>
          <w:shd w:val="clear" w:color="auto" w:fill="auto"/>
        </w:rPr>
        <w:t>税务监管</w:t>
      </w:r>
      <w:r>
        <w:rPr>
          <w:rFonts w:hint="eastAsia"/>
          <w:i w:val="false"/>
          <w:strike w:val="false"/>
          <w:color w:val="0070C0"/>
          <w:spacing w:val="0"/>
          <w:u w:val="none"/>
          <w:shd w:val="clear" w:color="auto" w:fill="auto"/>
        </w:rPr>
        <w:t>特点</w:t>
      </w:r>
      <w:r>
        <w:rPr>
          <w:i w:val="false"/>
          <w:strike w:val="false"/>
          <w:color w:val="0070C0"/>
          <w:spacing w:val="0"/>
          <w:u w:val="none"/>
          <w:shd w:val="clear" w:color="auto" w:fill="auto"/>
        </w:rPr>
        <w:t>**：</w:t>
      </w:r>
    </w:p>
    <w:p>
      <w:pPr>
        <w:snapToGrid/>
        <w:spacing w:line="240"/>
        <w:ind w:left="336"/>
        <w:rPr>
          <w:color w:val="0070C0"/>
          <w:shd w:val="clear" w:color="auto" w:fill="auto"/>
        </w:rPr>
      </w:pPr>
      <w:r>
        <w:rPr>
          <w:i w:val="false"/>
          <w:strike w:val="false"/>
          <w:color w:val="0070C0"/>
          <w:spacing w:val="0"/>
          <w:u w:val="none"/>
          <w:shd w:val="clear" w:color="auto" w:fill="auto"/>
        </w:rPr>
        <w:t>电商是一种商业模式的总称，因地域、商品、经营模式不同，没有统一的固定的行业税负。红线是多维度的，同样，根据地域不同、商品类别不同、监管重点不同，没有统一不变的指标阈值。税务监管的指标红线是多维度的，同样，根据地域不同、商品类别不同、监管重点不同，没有统一不变的指标阈值。</w:t>
      </w:r>
    </w:p>
    <w:p>
      <w:pPr>
        <w:pBdr>
          <w:bottom/>
        </w:pBdr>
        <w:snapToGrid/>
        <w:spacing w:line="240"/>
        <w:ind w:left="336"/>
        <w:rPr>
          <w:i w:val="false"/>
          <w:strike w:val="false"/>
          <w:color w:val="0070C0"/>
          <w:spacing w:val="0"/>
          <w:u w:val="none"/>
          <w:shd w:val="clear" w:color="auto" w:fill="auto"/>
        </w:rPr>
      </w:pPr>
      <w:r>
        <w:rPr>
          <w:i w:val="false"/>
          <w:strike w:val="false"/>
          <w:color w:val="0070C0"/>
          <w:spacing w:val="0"/>
          <w:u w:val="none"/>
          <w:shd w:val="clear" w:color="auto" w:fill="auto"/>
        </w:rPr>
        <w:t>当前可以明确的是，电商企业已经收到的税务风险推送中，包括以下高频的风险预警事项，企业应当对照自查，避免触及同样的风险：企业申报销售收入低于平台企业报送其收入全额</w:t>
      </w:r>
      <w:r>
        <w:rPr>
          <w:rFonts w:hint="eastAsia"/>
          <w:i w:val="false"/>
          <w:strike w:val="false"/>
          <w:color w:val="0070C0"/>
          <w:spacing w:val="0"/>
          <w:u w:val="none"/>
          <w:shd w:val="clear" w:color="auto" w:fill="auto"/>
        </w:rPr>
        <w:t>；</w:t>
      </w:r>
      <w:r>
        <w:rPr>
          <w:i w:val="false"/>
          <w:strike w:val="false"/>
          <w:color w:val="0070C0"/>
          <w:spacing w:val="0"/>
          <w:u w:val="none"/>
          <w:shd w:val="clear" w:color="auto" w:fill="auto"/>
        </w:rPr>
        <w:t>企业进销项税额倒挂，货物进项和服务费进项大于销项</w:t>
      </w:r>
      <w:r>
        <w:rPr>
          <w:rFonts w:hint="eastAsia"/>
          <w:i w:val="false"/>
          <w:strike w:val="false"/>
          <w:color w:val="0070C0"/>
          <w:spacing w:val="0"/>
          <w:u w:val="none"/>
          <w:shd w:val="clear" w:color="auto" w:fill="auto"/>
        </w:rPr>
        <w:t>；</w:t>
      </w:r>
      <w:r>
        <w:rPr>
          <w:i w:val="false"/>
          <w:strike w:val="false"/>
          <w:color w:val="0070C0"/>
          <w:spacing w:val="0"/>
          <w:u w:val="none"/>
          <w:shd w:val="clear" w:color="auto" w:fill="auto"/>
        </w:rPr>
        <w:t>企业退货金额或占比异常（过高或过低）</w:t>
      </w:r>
      <w:r>
        <w:rPr>
          <w:rFonts w:hint="eastAsia"/>
          <w:i w:val="false"/>
          <w:strike w:val="false"/>
          <w:color w:val="0070C0"/>
          <w:spacing w:val="0"/>
          <w:u w:val="none"/>
          <w:shd w:val="clear" w:color="auto" w:fill="auto"/>
        </w:rPr>
        <w:t>；</w:t>
      </w:r>
      <w:r>
        <w:rPr>
          <w:i w:val="false"/>
          <w:strike w:val="false"/>
          <w:color w:val="0070C0"/>
          <w:spacing w:val="0"/>
          <w:u w:val="none"/>
          <w:shd w:val="clear" w:color="auto" w:fill="auto"/>
        </w:rPr>
        <w:t>企业申报销售收入与购进货物不匹配</w:t>
      </w:r>
      <w:r>
        <w:rPr>
          <w:rFonts w:hint="eastAsia"/>
          <w:i w:val="false"/>
          <w:strike w:val="false"/>
          <w:color w:val="0070C0"/>
          <w:spacing w:val="0"/>
          <w:u w:val="none"/>
          <w:shd w:val="clear" w:color="auto" w:fill="auto"/>
        </w:rPr>
        <w:t>；</w:t>
      </w:r>
      <w:r>
        <w:rPr>
          <w:i w:val="false"/>
          <w:strike w:val="false"/>
          <w:color w:val="0070C0"/>
          <w:spacing w:val="0"/>
          <w:u w:val="none"/>
          <w:shd w:val="clear" w:color="auto" w:fill="auto"/>
        </w:rPr>
        <w:t>未开票收入金额或占比过低</w:t>
      </w:r>
      <w:r>
        <w:rPr>
          <w:rFonts w:hint="eastAsia"/>
          <w:i w:val="false"/>
          <w:strike w:val="false"/>
          <w:color w:val="0070C0"/>
          <w:spacing w:val="0"/>
          <w:u w:val="none"/>
          <w:shd w:val="clear" w:color="auto" w:fill="auto"/>
        </w:rPr>
        <w:t>；</w:t>
      </w:r>
      <w:r>
        <w:rPr>
          <w:i w:val="false"/>
          <w:strike w:val="false"/>
          <w:color w:val="0070C0"/>
          <w:spacing w:val="0"/>
          <w:u w:val="none"/>
          <w:shd w:val="clear" w:color="auto" w:fill="auto"/>
        </w:rPr>
        <w:t>平台服务费、快递费等占比过高</w:t>
      </w:r>
      <w:r>
        <w:rPr>
          <w:rFonts w:hint="eastAsia"/>
          <w:i w:val="false"/>
          <w:strike w:val="false"/>
          <w:color w:val="0070C0"/>
          <w:spacing w:val="0"/>
          <w:u w:val="none"/>
          <w:shd w:val="clear" w:color="auto" w:fill="auto"/>
        </w:rPr>
        <w:t>；</w:t>
      </w:r>
      <w:r>
        <w:rPr>
          <w:i w:val="false"/>
          <w:strike w:val="false"/>
          <w:color w:val="0070C0"/>
          <w:spacing w:val="0"/>
          <w:u w:val="none"/>
          <w:shd w:val="clear" w:color="auto" w:fill="auto"/>
        </w:rPr>
        <w:t>企业申报销售收入与线上服务费不匹配</w:t>
      </w:r>
    </w:p>
    <w:p>
      <w:pPr>
        <w:pStyle w:val="ablt93"/>
        <w:pBdr/>
        <w:ind w:left="336"/>
        <w:rPr>
          <w:shd w:val="clear" w:color="auto" w:fill="auto"/>
        </w:rPr>
      </w:pPr>
    </w:p>
    <w:p>
      <w:pPr>
        <w:pStyle w:val="46rja3"/>
        <w:rPr>
          <w:shd w:val="clear" w:color="auto" w:fill="auto"/>
        </w:rPr>
      </w:pPr>
      <w:r>
        <w:rPr>
          <w:shd w:val="clear" w:color="auto" w:fill="auto"/>
        </w:rPr>
        <w:t>### 电商行业高频特殊业务处理指引（来源：电商素材.xlsx）</w:t>
      </w:r>
    </w:p>
    <w:p>
      <w:pPr>
        <w:snapToGrid/>
        <w:spacing w:line="240"/>
        <w:rPr>
          <w:shd w:val="clear" w:color="auto" w:fill="auto"/>
        </w:rPr>
      </w:pPr>
    </w:p>
    <w:p>
      <w:pPr>
        <w:snapToGrid/>
        <w:spacing w:line="240"/>
        <w:rPr>
          <w:shd w:val="clear" w:color="auto" w:fill="auto"/>
        </w:rPr>
      </w:pPr>
      <w:r>
        <w:rPr>
          <w:i w:val="false"/>
          <w:strike w:val="false"/>
          <w:spacing w:val="0"/>
          <w:u w:val="none"/>
          <w:shd w:val="clear" w:color="auto" w:fill="auto"/>
        </w:rPr>
        <w:t>以下内容均匹配当前电商行业实操规则与最新政策要求，可直接纳入培训手册使用：</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w:t>
      </w:r>
    </w:p>
    <w:p>
      <w:pPr>
        <w:snapToGrid/>
        <w:spacing w:line="240"/>
        <w:ind/>
        <w:rPr>
          <w:shd w:val="clear" w:color="auto" w:fill="auto"/>
        </w:rPr>
      </w:pPr>
    </w:p>
    <w:p>
      <w:pPr>
        <w:pStyle w:val="plwtxr"/>
        <w:rPr>
          <w:shd w:val="clear" w:color="auto" w:fill="auto"/>
        </w:rPr>
      </w:pPr>
      <w:r>
        <w:rPr>
          <w:shd w:val="clear" w:color="auto" w:fill="auto"/>
        </w:rPr>
        <w:t>#### 一、刷单账务及税务处理</w:t>
      </w:r>
    </w:p>
    <w:p>
      <w:pPr>
        <w:pBdr/>
        <w:snapToGrid/>
        <w:spacing w:line="240"/>
        <w:ind/>
        <w:rPr>
          <w:i w:val="false"/>
          <w:strike w:val="false"/>
          <w:spacing w:val="0"/>
          <w:u w:val="none"/>
          <w:shd w:val="clear" w:color="auto" w:fill="auto"/>
        </w:rPr>
      </w:pPr>
      <w:r>
        <w:rPr>
          <w:i w:val="false"/>
          <w:strike w:val="false"/>
          <w:spacing w:val="0"/>
          <w:u w:val="none"/>
          <w:shd w:val="clear" w:color="auto" w:fill="auto"/>
        </w:rPr>
        <w:t>**政策依据**：《互联网平台企业涉税信息报送规定》、《反不正当竞争法》</w:t>
      </w:r>
    </w:p>
    <w:p>
      <w:pPr>
        <w:pBdr/>
        <w:snapToGrid/>
        <w:spacing w:line="240"/>
        <w:ind/>
        <w:rPr>
          <w:rFonts w:hint="eastAsia"/>
          <w:i w:val="false"/>
          <w:strike w:val="false"/>
          <w:color w:val="1450B8"/>
          <w:spacing w:val="0"/>
          <w:u w:val="none"/>
          <w:shd w:val="clear" w:color="auto" w:fill="auto"/>
        </w:rPr>
      </w:pPr>
      <w:r>
        <w:rPr>
          <w:i w:val="false"/>
          <w:strike w:val="false"/>
          <w:color w:val="1450B8"/>
          <w:spacing w:val="0"/>
          <w:u w:val="none"/>
          <w:shd w:val="clear" w:color="auto" w:fill="auto"/>
        </w:rPr>
        <w:t xml:space="preserve">##### </w:t>
      </w:r>
      <w:r>
        <w:rPr>
          <w:rFonts w:hint="eastAsia"/>
          <w:i w:val="false"/>
          <w:strike w:val="false"/>
          <w:color w:val="1450B8"/>
          <w:spacing w:val="0"/>
          <w:u w:val="none"/>
          <w:shd w:val="clear" w:color="auto" w:fill="auto"/>
        </w:rPr>
        <w:t>账务处理流程</w:t>
      </w:r>
    </w:p>
    <w:p>
      <w:pPr>
        <w:snapToGrid/>
        <w:spacing w:line="240"/>
        <w:ind/>
        <w:rPr>
          <w:shd w:val="clear" w:color="auto" w:fill="auto"/>
        </w:rPr>
      </w:pPr>
      <w:r>
        <w:rPr>
          <w:i w:val="false"/>
          <w:strike w:val="false"/>
          <w:spacing w:val="0"/>
          <w:u w:val="none"/>
          <w:shd w:val="clear" w:color="auto" w:fill="auto"/>
        </w:rPr>
        <w:t>刷单</w:t>
      </w:r>
      <w:r>
        <w:rPr>
          <w:rFonts w:hint="eastAsia"/>
          <w:i w:val="false"/>
          <w:strike w:val="false"/>
          <w:spacing w:val="0"/>
          <w:u w:val="none"/>
          <w:shd w:val="clear" w:color="auto" w:fill="auto"/>
        </w:rPr>
        <w:t>的“收入”，</w:t>
      </w:r>
      <w:r>
        <w:rPr>
          <w:i w:val="false"/>
          <w:strike w:val="false"/>
          <w:spacing w:val="0"/>
          <w:u w:val="none"/>
          <w:shd w:val="clear" w:color="auto" w:fill="auto"/>
        </w:rPr>
        <w:t>属于虚构交易、无真实货物流转与经济利益流入，不应确认为主营业务收入，应按资金往来处理。当将资金打给员工或刷手用于支付时，应借记“其他应收款”、贷记“银行存款”；当刷单资金通过平台回款至公司账户时，由于这本质上是需返还的本金而非收入，应借记“银行存款”、贷记“其他应付款”</w:t>
      </w:r>
      <w:r>
        <w:rPr>
          <w:rFonts w:hint="eastAsia"/>
          <w:i w:val="false"/>
          <w:strike w:val="false"/>
          <w:spacing w:val="0"/>
          <w:u w:val="none"/>
          <w:shd w:val="clear" w:color="auto" w:fill="auto"/>
        </w:rPr>
        <w:t>，</w:t>
      </w:r>
      <w:r>
        <w:rPr>
          <w:rFonts w:hint="eastAsia"/>
          <w:i w:val="false"/>
          <w:strike w:val="false"/>
          <w:color w:val="1450B8"/>
          <w:spacing w:val="0"/>
          <w:u w:val="none"/>
          <w:shd w:val="clear" w:color="auto" w:fill="auto"/>
        </w:rPr>
        <w:t>最后将“其他应付款”对冲</w:t>
      </w:r>
      <w:r>
        <w:rPr>
          <w:i w:val="false"/>
          <w:strike w:val="false"/>
          <w:color w:val="1450B8"/>
          <w:spacing w:val="0"/>
          <w:u w:val="none"/>
          <w:shd w:val="clear" w:color="auto" w:fill="auto"/>
        </w:rPr>
        <w:t>“其他应收款”</w:t>
      </w:r>
      <w:r>
        <w:rPr>
          <w:i w:val="false"/>
          <w:strike w:val="false"/>
          <w:spacing w:val="0"/>
          <w:u w:val="none"/>
          <w:shd w:val="clear" w:color="auto" w:fill="auto"/>
        </w:rPr>
        <w:t>。对于商家支付的刷单佣金、手续费、空包物流等费用通常计入销售费用。根据企业所得税法，这些支出因具有市场营销属性，与获取收入存在关联，理论上属于可税前扣除的合理支出。然而实际操作中面临障碍，核心在于刷单行为本身的违规性导致支出难以取得正规发票等合法有效凭证，使得企业在所得税申报时扣除受限。需要厘清的是，刷单的违规性属于市场监管和平台规则层面的问题，而税法对支出的认定更侧重于经济实质，从法理上讲，行政违规性不应自动否定其税前扣除资格。因此，企业在经营中应当规范财务处理，避免因刷单行为引发重大税务风险。</w:t>
      </w:r>
    </w:p>
    <w:p>
      <w:pPr>
        <w:snapToGrid/>
        <w:spacing w:line="240"/>
        <w:ind/>
        <w:rPr>
          <w:shd w:val="clear" w:color="auto" w:fill="auto"/>
        </w:rPr>
      </w:pPr>
      <w:r>
        <w:rPr>
          <w:i w:val="false"/>
          <w:strike w:val="false"/>
          <w:spacing w:val="0"/>
          <w:u w:val="none"/>
          <w:shd w:val="clear" w:color="auto" w:fill="auto"/>
        </w:rPr>
        <w:t>在实务中，由于平台结算和刷单结算存在时间差，大部分电商公司的操作是先按平台结算单入账，后续核对刷单结算单后红冲；部分大量刷单可能会通过供应链提供的物料数据暂估，后红冲。</w:t>
      </w:r>
    </w:p>
    <w:p>
      <w:pPr>
        <w:snapToGrid/>
        <w:spacing w:line="240"/>
        <w:ind/>
        <w:rPr>
          <w:shd w:val="clear" w:color="auto" w:fill="auto"/>
        </w:rPr>
      </w:pPr>
      <w:r>
        <w:rPr>
          <w:i w:val="false"/>
          <w:strike w:val="false"/>
          <w:spacing w:val="0"/>
          <w:u w:val="none"/>
          <w:shd w:val="clear" w:color="auto" w:fill="auto"/>
        </w:rPr>
        <w:t xml:space="preserve">##### </w:t>
      </w:r>
      <w:r>
        <w:rPr>
          <w:rFonts w:hint="eastAsia"/>
          <w:i w:val="false"/>
          <w:strike w:val="false"/>
          <w:spacing w:val="0"/>
          <w:u w:val="none"/>
          <w:shd w:val="clear" w:color="auto" w:fill="auto"/>
        </w:rPr>
        <w:t>税务</w:t>
      </w:r>
      <w:r>
        <w:rPr>
          <w:i w:val="false"/>
          <w:strike w:val="false"/>
          <w:spacing w:val="0"/>
          <w:u w:val="none"/>
          <w:shd w:val="clear" w:color="auto" w:fill="auto"/>
        </w:rPr>
        <w:t>处理流程</w:t>
      </w:r>
    </w:p>
    <w:p>
      <w:pPr>
        <w:snapToGrid/>
        <w:spacing w:line="240"/>
        <w:ind/>
        <w:rPr>
          <w:shd w:val="clear" w:color="auto" w:fill="auto"/>
        </w:rPr>
      </w:pPr>
      <w:r>
        <w:rPr>
          <w:i w:val="false"/>
          <w:strike w:val="false"/>
          <w:spacing w:val="0"/>
          <w:u w:val="none"/>
          <w:shd w:val="clear" w:color="auto" w:fill="auto"/>
        </w:rPr>
        <w:t>1. **收入端判定**：刷单属于虚假交易，原则上不产生纳税义务，但平台默认报送全量订单收入，需由商家自行举证剔除。</w:t>
      </w:r>
    </w:p>
    <w:p>
      <w:pPr>
        <w:snapToGrid/>
        <w:spacing w:line="240"/>
        <w:ind/>
        <w:rPr>
          <w:shd w:val="clear" w:color="auto" w:fill="auto"/>
        </w:rPr>
      </w:pPr>
      <w:r>
        <w:rPr>
          <w:i w:val="false"/>
          <w:strike w:val="false"/>
          <w:spacing w:val="0"/>
          <w:u w:val="none"/>
          <w:shd w:val="clear" w:color="auto" w:fill="auto"/>
        </w:rPr>
        <w:t>2. **举证要求**：需提供完整证据链，包括：①平台后台净销售额截图（标注异常订单）；②刷单相关协议、资金流水（含支付给刷手的佣金记录、资金回流凭证）；③物流证明（快递公司盖章的空包/低重量物流清单、无实际配送记录凭证）；④内部刷单台账、组织聊天记录等。</w:t>
      </w:r>
    </w:p>
    <w:p>
      <w:pPr>
        <w:snapToGrid/>
        <w:spacing w:line="240"/>
        <w:ind/>
        <w:rPr>
          <w:shd w:val="clear" w:color="auto" w:fill="auto"/>
        </w:rPr>
      </w:pPr>
      <w:r>
        <w:rPr>
          <w:i w:val="false"/>
          <w:strike w:val="false"/>
          <w:spacing w:val="0"/>
          <w:u w:val="none"/>
          <w:shd w:val="clear" w:color="auto" w:fill="auto"/>
        </w:rPr>
        <w:t>3. **申报调整**：若能提供完整证据链，可在纳税申报时从销售额中剔除刷单金额；无法举证的，需按正常交易申报缴纳增值税及企业所得税。</w:t>
      </w:r>
    </w:p>
    <w:p>
      <w:pPr>
        <w:snapToGrid/>
        <w:spacing w:line="240"/>
        <w:ind/>
        <w:rPr>
          <w:color w:val="FF0000"/>
          <w:shd w:val="clear" w:color="auto" w:fill="auto"/>
        </w:rPr>
      </w:pPr>
      <w:r>
        <w:rPr>
          <w:i w:val="false"/>
          <w:strike w:val="false"/>
          <w:spacing w:val="0"/>
          <w:u w:val="none"/>
          <w:shd w:val="clear" w:color="auto" w:fill="auto"/>
        </w:rPr>
        <w:t>4. **费用端处理**：</w:t>
      </w:r>
      <w:r>
        <w:rPr>
          <w:i w:val="false"/>
          <w:strike w:val="false"/>
          <w:color w:val="333333"/>
          <w:spacing w:val="0"/>
          <w:u w:val="none"/>
          <w:shd w:val="clear" w:color="auto" w:fill="auto"/>
        </w:rPr>
        <w:t>刷单产生的佣金、物流费等支出，</w:t>
      </w:r>
      <w:r>
        <w:rPr>
          <w:i w:val="false"/>
          <w:strike w:val="false"/>
          <w:color w:val="0070C0"/>
          <w:spacing w:val="0"/>
          <w:u w:val="none"/>
          <w:shd w:val="clear" w:color="auto" w:fill="auto"/>
        </w:rPr>
        <w:t>因具有市场营销属性，与获取收入存在关联，理论上属于可税前扣除的合理支出</w:t>
      </w:r>
      <w:r>
        <w:rPr>
          <w:rFonts w:hint="eastAsia"/>
          <w:i w:val="false"/>
          <w:strike w:val="false"/>
          <w:color w:val="0070C0"/>
          <w:spacing w:val="0"/>
          <w:u w:val="none"/>
          <w:shd w:val="clear" w:color="auto" w:fill="auto"/>
        </w:rPr>
        <w:t>，</w:t>
      </w:r>
      <w:r>
        <w:rPr>
          <w:i w:val="false"/>
          <w:strike w:val="false"/>
          <w:color w:val="333333"/>
          <w:spacing w:val="0"/>
          <w:u w:val="none"/>
          <w:shd w:val="clear" w:color="auto" w:fill="auto"/>
        </w:rPr>
        <w:t>若能提供真实凭证可据实入账；无法证明真实性的，不得在企业所得税税前扣除。</w:t>
      </w:r>
      <w:r>
        <w:rPr>
          <w:rFonts w:hint="eastAsia"/>
          <w:i w:val="false"/>
          <w:strike w:val="false"/>
          <w:color w:val="0070C0"/>
          <w:spacing w:val="0"/>
          <w:u w:val="none"/>
          <w:shd w:val="clear" w:color="auto" w:fill="auto"/>
        </w:rPr>
        <w:t>具体扣除口径应以主管税务监管要求为准。</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 高频风险提示</w:t>
      </w:r>
    </w:p>
    <w:p>
      <w:pPr>
        <w:snapToGrid/>
        <w:spacing w:line="240"/>
        <w:ind/>
        <w:rPr>
          <w:color w:val="0070C0"/>
          <w:shd w:val="clear" w:color="auto" w:fill="auto"/>
        </w:rPr>
      </w:pPr>
      <w:r>
        <w:rPr>
          <w:i w:val="false"/>
          <w:strike w:val="false"/>
          <w:spacing w:val="0"/>
          <w:u w:val="none"/>
          <w:shd w:val="clear" w:color="auto" w:fill="auto"/>
        </w:rPr>
        <w:t>1. 刷单本身违反《反不正当竞争法》，可处20万-200万元罚款，情节严重的吊销营业执照，证明刷单虽可减少税负但可能触发市监处罚，需提前测算风险成本。</w:t>
      </w:r>
      <w:r>
        <w:rPr>
          <w:i w:val="false"/>
          <w:strike w:val="false"/>
          <w:color w:val="0070C0"/>
          <w:spacing w:val="0"/>
          <w:u w:val="none"/>
          <w:shd w:val="clear" w:color="auto" w:fill="auto"/>
        </w:rPr>
        <w:t>建议测算两边的违法成本，再确定是否刨除刷单收入。</w:t>
      </w:r>
    </w:p>
    <w:p>
      <w:pPr>
        <w:snapToGrid/>
        <w:spacing w:line="240"/>
        <w:ind/>
        <w:rPr>
          <w:shd w:val="clear" w:color="auto" w:fill="auto"/>
        </w:rPr>
      </w:pPr>
      <w:r>
        <w:rPr>
          <w:i w:val="false"/>
          <w:strike w:val="false"/>
          <w:spacing w:val="0"/>
          <w:u w:val="none"/>
          <w:shd w:val="clear" w:color="auto" w:fill="auto"/>
        </w:rPr>
        <w:t>2. 若无法提供完整证据链，税务机关将直接认定刷单金额为应税收入，需按13%（一般纳税人）/1%-3%（小规模）补缴增值税，按5%/25%补缴企业所得税，并加收每日万分之五的滞纳金及0.5-5倍罚款。</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w:t>
      </w:r>
    </w:p>
    <w:p>
      <w:pPr>
        <w:pStyle w:val="plwtxr"/>
        <w:ind/>
        <w:rPr>
          <w:shd w:val="clear" w:color="auto" w:fill="auto"/>
        </w:rPr>
      </w:pPr>
    </w:p>
    <w:p>
      <w:pPr>
        <w:pStyle w:val="plwtxr"/>
        <w:ind/>
        <w:rPr>
          <w:shd w:val="clear" w:color="auto" w:fill="auto"/>
        </w:rPr>
      </w:pPr>
      <w:r>
        <w:rPr>
          <w:shd w:val="clear" w:color="auto" w:fill="auto"/>
        </w:rPr>
        <w:t>#### 二、平台补贴计税处理</w:t>
      </w:r>
    </w:p>
    <w:p>
      <w:pPr>
        <w:snapToGrid/>
        <w:spacing w:line="240"/>
        <w:ind/>
        <w:rPr>
          <w:shd w:val="clear" w:color="auto" w:fill="auto"/>
        </w:rPr>
      </w:pPr>
      <w:r>
        <w:rPr>
          <w:i w:val="false"/>
          <w:strike w:val="false"/>
          <w:spacing w:val="0"/>
          <w:u w:val="none"/>
          <w:shd w:val="clear" w:color="auto" w:fill="auto"/>
        </w:rPr>
        <w:t>**政策依据**：增值税暂行条例、发票管理办法</w:t>
      </w:r>
    </w:p>
    <w:p>
      <w:pPr>
        <w:snapToGrid/>
        <w:spacing w:line="240"/>
        <w:ind/>
        <w:rPr>
          <w:shd w:val="clear" w:color="auto" w:fill="auto"/>
        </w:rPr>
      </w:pPr>
      <w:r>
        <w:rPr>
          <w:i w:val="false"/>
          <w:strike w:val="false"/>
          <w:spacing w:val="0"/>
          <w:u w:val="none"/>
          <w:shd w:val="clear" w:color="auto" w:fill="auto"/>
        </w:rPr>
        <w:t>##### 处理流程</w:t>
      </w:r>
    </w:p>
    <w:p>
      <w:pPr>
        <w:snapToGrid/>
        <w:spacing w:line="240"/>
        <w:ind/>
        <w:rPr>
          <w:shd w:val="clear" w:color="auto" w:fill="auto"/>
        </w:rPr>
      </w:pPr>
      <w:r>
        <w:rPr>
          <w:i w:val="false"/>
          <w:strike w:val="false"/>
          <w:spacing w:val="0"/>
          <w:u w:val="none"/>
          <w:shd w:val="clear" w:color="auto" w:fill="auto"/>
        </w:rPr>
        <w:t>1. **性质判定与计税规则**</w:t>
      </w:r>
    </w:p>
    <w:p>
      <w:pPr>
        <w:snapToGrid/>
        <w:spacing w:line="240"/>
        <w:ind/>
        <w:rPr>
          <w:shd w:val="clear" w:color="auto" w:fill="auto"/>
        </w:rPr>
      </w:pPr>
      <w:r>
        <w:rPr>
          <w:i w:val="false"/>
          <w:strike w:val="false"/>
          <w:spacing w:val="0"/>
          <w:u w:val="none"/>
          <w:shd w:val="clear" w:color="auto" w:fill="auto"/>
        </w:rPr>
        <w:t xml:space="preserve">   - 若补贴属于**价格补贴**（如平台直接补贴消费者降低成交价，如百亿补贴、消费者领取的平台优惠券），属于商品销售收入的组成部分，一般纳税人按13%税率开具货物类发票，计入主营业务收入申报纳税。</w:t>
      </w:r>
    </w:p>
    <w:p>
      <w:pPr>
        <w:snapToGrid/>
        <w:spacing w:line="240"/>
        <w:ind/>
        <w:rPr>
          <w:shd w:val="clear" w:color="auto" w:fill="auto"/>
        </w:rPr>
      </w:pPr>
      <w:r>
        <w:rPr>
          <w:i w:val="false"/>
          <w:strike w:val="false"/>
          <w:spacing w:val="0"/>
          <w:u w:val="none"/>
          <w:shd w:val="clear" w:color="auto" w:fill="auto"/>
        </w:rPr>
        <w:t xml:space="preserve">   - 若补贴属于**推广服务费**（如平台支付给商家用于流量扶持、活动专项奖励），需签订服务协议明确业务实质，可按6%税率开具服务类发票，计入其他业务收入或主营业务收入申报。</w:t>
      </w:r>
      <w:r>
        <w:rPr>
          <w:i w:val="false"/>
          <w:strike w:val="false"/>
          <w:color w:val="1450B8"/>
          <w:spacing w:val="0"/>
          <w:u w:val="none"/>
          <w:shd w:val="clear" w:color="auto" w:fill="auto"/>
        </w:rPr>
        <w:t>但是各地税局的征管口径不一致，需要与主管税局确认。</w:t>
      </w:r>
    </w:p>
    <w:p>
      <w:pPr>
        <w:snapToGrid/>
        <w:spacing w:line="240"/>
        <w:ind/>
        <w:rPr>
          <w:shd w:val="clear" w:color="auto" w:fill="auto"/>
        </w:rPr>
      </w:pPr>
      <w:r>
        <w:rPr>
          <w:i w:val="false"/>
          <w:strike w:val="false"/>
          <w:spacing w:val="0"/>
          <w:u w:val="none"/>
          <w:shd w:val="clear" w:color="auto" w:fill="auto"/>
        </w:rPr>
        <w:t>2. **申报要求**：平台补贴收入需全额计入应税收入申报，不得直接从平台报送的收入总额中扣除。</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 高频风险提示</w:t>
      </w:r>
    </w:p>
    <w:p>
      <w:pPr>
        <w:snapToGrid/>
        <w:spacing w:line="240"/>
        <w:ind/>
        <w:rPr>
          <w:shd w:val="clear" w:color="auto" w:fill="auto"/>
        </w:rPr>
      </w:pPr>
      <w:r>
        <w:rPr>
          <w:i w:val="false"/>
          <w:strike w:val="false"/>
          <w:spacing w:val="0"/>
          <w:u w:val="none"/>
          <w:shd w:val="clear" w:color="auto" w:fill="auto"/>
        </w:rPr>
        <w:t>1. 不得随意变更发票税目，未明确业务实质的情况下开具6%服务费发票可能被认定为虚开发票。</w:t>
      </w:r>
    </w:p>
    <w:p>
      <w:pPr>
        <w:snapToGrid/>
        <w:spacing w:line="240"/>
        <w:ind/>
        <w:rPr>
          <w:shd w:val="clear" w:color="auto" w:fill="auto"/>
        </w:rPr>
      </w:pPr>
      <w:r>
        <w:rPr>
          <w:i w:val="false"/>
          <w:strike w:val="false"/>
          <w:spacing w:val="0"/>
          <w:u w:val="none"/>
          <w:shd w:val="clear" w:color="auto" w:fill="auto"/>
        </w:rPr>
        <w:t>2. 补贴收入若未如实申报，将触发平台报送数据与申报数据差异预警，需补缴税款及滞纳金。</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w:t>
      </w:r>
    </w:p>
    <w:p>
      <w:pPr>
        <w:snapToGrid/>
        <w:spacing w:line="240"/>
        <w:ind/>
        <w:rPr>
          <w:shd w:val="clear" w:color="auto" w:fill="auto"/>
        </w:rPr>
      </w:pPr>
    </w:p>
    <w:p>
      <w:pPr>
        <w:pStyle w:val="plwtxr"/>
        <w:rPr>
          <w:shd w:val="clear" w:color="auto" w:fill="auto"/>
        </w:rPr>
      </w:pPr>
      <w:r>
        <w:rPr>
          <w:shd w:val="clear" w:color="auto" w:fill="auto"/>
        </w:rPr>
        <w:t xml:space="preserve">#### </w:t>
      </w:r>
      <w:r>
        <w:rPr>
          <w:rFonts w:hint="eastAsia"/>
          <w:shd w:val="clear" w:color="auto" w:fill="auto"/>
        </w:rPr>
        <w:t>三</w:t>
      </w:r>
      <w:r>
        <w:rPr>
          <w:shd w:val="clear" w:color="auto" w:fill="auto"/>
        </w:rPr>
        <w:t>、退换货成本核算及税务处理</w:t>
      </w:r>
    </w:p>
    <w:p>
      <w:pPr>
        <w:snapToGrid/>
        <w:spacing w:line="240"/>
        <w:ind/>
        <w:rPr>
          <w:shd w:val="clear" w:color="auto" w:fill="auto"/>
        </w:rPr>
      </w:pPr>
      <w:r>
        <w:rPr>
          <w:i w:val="false"/>
          <w:strike w:val="false"/>
          <w:spacing w:val="0"/>
          <w:u w:val="none"/>
          <w:shd w:val="clear" w:color="auto" w:fill="auto"/>
        </w:rPr>
        <w:t>**政策依据**：《企业会计准则第14号——收入》、增值税暂行条例实施细则</w:t>
      </w:r>
    </w:p>
    <w:p>
      <w:pPr>
        <w:snapToGrid/>
        <w:spacing w:line="240"/>
        <w:ind/>
        <w:rPr>
          <w:shd w:val="clear" w:color="auto" w:fill="auto"/>
        </w:rPr>
      </w:pPr>
      <w:r>
        <w:rPr>
          <w:i w:val="false"/>
          <w:strike w:val="false"/>
          <w:spacing w:val="0"/>
          <w:u w:val="none"/>
          <w:shd w:val="clear" w:color="auto" w:fill="auto"/>
        </w:rPr>
        <w:t>##### 处理流程</w:t>
      </w:r>
    </w:p>
    <w:p>
      <w:pPr>
        <w:snapToGrid/>
        <w:spacing w:line="240"/>
        <w:ind/>
        <w:rPr>
          <w:shd w:val="clear" w:color="auto" w:fill="auto"/>
        </w:rPr>
      </w:pPr>
      <w:r>
        <w:rPr>
          <w:i w:val="false"/>
          <w:strike w:val="false"/>
          <w:spacing w:val="0"/>
          <w:u w:val="none"/>
          <w:shd w:val="clear" w:color="auto" w:fill="auto"/>
        </w:rPr>
        <w:t>1. **收入冲减规则**：真实发生的退换货，可在退货当期冲减对应销售收入；平台报送数据已包含退款金额的，申报时可直接减除线上留痕的退款金额。</w:t>
      </w:r>
    </w:p>
    <w:p>
      <w:pPr>
        <w:snapToGrid/>
        <w:spacing w:line="240"/>
        <w:ind/>
        <w:rPr>
          <w:shd w:val="clear" w:color="auto" w:fill="auto"/>
        </w:rPr>
      </w:pPr>
      <w:r>
        <w:rPr>
          <w:i w:val="false"/>
          <w:strike w:val="false"/>
          <w:spacing w:val="0"/>
          <w:u w:val="none"/>
          <w:shd w:val="clear" w:color="auto" w:fill="auto"/>
        </w:rPr>
        <w:t>2. **线下退货举证要求**：若为协商后的线下退货（未走平台退款流程），需提供证据链包括：①对应订单的退款资金流水记录；②退货物流单、仓库入库验收记录；③与消费者的沟通记录、退货协议等，凭上述凭证冲减当期收入。</w:t>
      </w:r>
    </w:p>
    <w:p>
      <w:pPr>
        <w:snapToGrid/>
        <w:spacing w:line="240"/>
        <w:ind/>
        <w:rPr>
          <w:color w:val="0070C0"/>
          <w:shd w:val="clear" w:color="auto" w:fill="auto"/>
        </w:rPr>
      </w:pPr>
      <w:r>
        <w:rPr>
          <w:i w:val="false"/>
          <w:strike w:val="false"/>
          <w:color w:val="0070C0"/>
          <w:spacing w:val="0"/>
          <w:u w:val="none"/>
          <w:shd w:val="clear" w:color="auto" w:fill="auto"/>
        </w:rPr>
        <w:t>3. **成本核算**：退换货产生的物流费、商品损耗费等，计入当期销售费用，取得合法凭证的可在企业所得税税前扣除；退回商品已发生减值、无法二次销售的，按资产损失相关规定申报扣除。</w:t>
      </w:r>
    </w:p>
    <w:p>
      <w:pPr>
        <w:snapToGrid/>
        <w:spacing w:line="240"/>
        <w:ind/>
        <w:rPr>
          <w:shd w:val="clear" w:color="auto" w:fill="auto"/>
        </w:rPr>
      </w:pPr>
      <w:r>
        <w:rPr>
          <w:i w:val="false"/>
          <w:strike w:val="false"/>
          <w:color w:val="0070C0"/>
          <w:spacing w:val="0"/>
          <w:u w:val="none"/>
          <w:shd w:val="clear" w:color="auto" w:fill="auto"/>
        </w:rPr>
        <w:t>4. **跨期退货处理**：若退货发生在收入确认当年汇算清缴前，可调整报告年度收入成本；发生在汇算清缴后的，计入退货当期损益</w:t>
      </w:r>
      <w:r>
        <w:rPr>
          <w:i w:val="false"/>
          <w:strike w:val="false"/>
          <w:spacing w:val="0"/>
          <w:u w:val="none"/>
          <w:shd w:val="clear" w:color="auto" w:fill="auto"/>
        </w:rPr>
        <w:t>。</w:t>
      </w:r>
    </w:p>
    <w:p>
      <w:pPr>
        <w:snapToGrid/>
        <w:spacing w:line="240"/>
        <w:ind/>
        <w:rPr>
          <w:shd w:val="clear" w:color="auto" w:fill="auto"/>
        </w:rPr>
      </w:pPr>
    </w:p>
    <w:p>
      <w:pPr>
        <w:snapToGrid/>
        <w:spacing w:line="240"/>
        <w:ind/>
        <w:rPr>
          <w:shd w:val="clear" w:color="auto" w:fill="auto"/>
        </w:rPr>
      </w:pPr>
      <w:r>
        <w:rPr>
          <w:i w:val="false"/>
          <w:strike w:val="false"/>
          <w:spacing w:val="0"/>
          <w:u w:val="none"/>
          <w:shd w:val="clear" w:color="auto" w:fill="auto"/>
        </w:rPr>
        <w:t>##### 高频风险提示</w:t>
      </w:r>
    </w:p>
    <w:p>
      <w:pPr>
        <w:snapToGrid/>
        <w:spacing w:line="240"/>
        <w:ind/>
        <w:rPr>
          <w:shd w:val="clear" w:color="auto" w:fill="auto"/>
        </w:rPr>
      </w:pPr>
      <w:r>
        <w:rPr>
          <w:i w:val="false"/>
          <w:strike w:val="false"/>
          <w:spacing w:val="0"/>
          <w:u w:val="none"/>
          <w:shd w:val="clear" w:color="auto" w:fill="auto"/>
        </w:rPr>
        <w:t>1. 无合理凭证的线下退货不得自行冲减收入，否则将导致申报数据低于平台报送数据，触发税务预警。</w:t>
      </w:r>
    </w:p>
    <w:p>
      <w:pPr>
        <w:pStyle w:val="ablt93"/>
        <w:numPr>
          <w:ilvl w:val="0"/>
          <w:numId w:val="4"/>
        </w:numPr>
        <w:pBdr/>
        <w:rPr>
          <w:i w:val="false"/>
          <w:strike w:val="false"/>
          <w:spacing w:val="0"/>
          <w:u w:val="none"/>
          <w:shd w:val="clear" w:color="auto" w:fill="auto"/>
        </w:rPr>
      </w:pPr>
      <w:r>
        <w:rPr>
          <w:i w:val="false"/>
          <w:strike w:val="false"/>
          <w:spacing w:val="0"/>
          <w:u w:val="none"/>
          <w:shd w:val="clear" w:color="auto" w:fill="auto"/>
        </w:rPr>
        <w:t xml:space="preserve">虚构退货业务冲减收入的，将被认定为隐匿收入，需补缴税款、滞纳金并处0.5-5倍罚款。 </w:t>
      </w:r>
    </w:p>
    <w:p>
      <w:pPr>
        <w:pStyle w:val="ablt93"/>
        <w:ind w:left="336"/>
        <w:rPr>
          <w:shd w:val="clear" w:color="auto" w:fill="auto"/>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3"/>
      <w:numFmt w:val="decimal"/>
      <w:lvlText w:val="%1."/>
      <w:lvlJc w:val="left"/>
      <w:pPr>
        <w:ind w:left="336" w:hanging="336"/>
      </w:pPr>
      <w:rPr>
        <w:rFonts w:hint="default" w:ascii="" w:hAnsi="" w:cs=""/>
      </w:r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2">
    <w:lvl w:ilvl="0">
      <w:start w:val="2"/>
      <w:numFmt w:val="decimal"/>
      <w:lvlText w:val="%1."/>
      <w:lvlJc w:val="left"/>
      <w:pPr>
        <w:ind w:left="336" w:hanging="336"/>
      </w:pPr>
      <w:rPr>
        <w:rFonts w:hint="default" w:ascii="" w:hAnsi="" w:cs=""/>
      </w:r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abstractNum w:abstractNumId="3">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rFonts w:hint="default" w:ascii="" w:hAnsi="" w:cs=""/>
      </w:r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4">
    <w:lvl w:ilvl="0">
      <w:start w:val="1"/>
      <w:numFmt w:val="decimal"/>
      <w:lvlText w:val="%1."/>
      <w:lvlJc w:val="left"/>
      <w:pPr>
        <w:tabs/>
        <w:ind w:left="336" w:hanging="336"/>
      </w:pPr>
      <w:rPr>
        <w:rFonts w:hint="default" w:ascii="" w:hAnsi="" w:cs=""/>
      </w:rPr>
    </w:lvl>
    <w:lvl w:ilvl="1">
      <w:start w:val="1"/>
      <w:numFmt w:val="lowerLetter"/>
      <w:lvlText w:val="%2."/>
      <w:lvlJc w:val="left"/>
      <w:pPr>
        <w:ind w:left="776" w:hanging="336"/>
      </w:pPr>
      <w:rPr/>
    </w:lvl>
    <w:lvl w:ilvl="2">
      <w:start w:val="1"/>
      <w:numFmt w:val="lowerRoman"/>
      <w:lvlText w:val="%3."/>
      <w:lvlJc w:val="left"/>
      <w:pPr>
        <w:ind w:left="1216" w:hanging="336"/>
      </w:pPr>
      <w:rPr/>
    </w:lvl>
    <w:lvl w:ilvl="3">
      <w:start w:val="1"/>
      <w:numFmt w:val="decimal"/>
      <w:lvlText w:val="%4."/>
      <w:lvlJc w:val="left"/>
      <w:pPr>
        <w:ind w:left="1656" w:hanging="336"/>
      </w:pPr>
      <w:rPr/>
    </w:lvl>
    <w:lvl w:ilvl="8">
      <w:start w:val="1"/>
      <w:numFmt w:val="lowerRoman"/>
      <w:lvlText w:val="%9."/>
      <w:lvlJc w:val="left"/>
      <w:pPr>
        <w:ind w:left="3856" w:hanging="336"/>
      </w:pPr>
      <w:rPr/>
    </w:lvl>
    <w:lvl w:ilvl="4">
      <w:start w:val="1"/>
      <w:numFmt w:val="lowerLetter"/>
      <w:lvlText w:val="%5."/>
      <w:lvlJc w:val="left"/>
      <w:pPr>
        <w:ind w:left="2096" w:hanging="336"/>
      </w:pPr>
      <w:rPr/>
    </w:lvl>
    <w:lvl w:ilvl="7">
      <w:start w:val="1"/>
      <w:numFmt w:val="lowerLetter"/>
      <w:lvlText w:val="%8."/>
      <w:lvlJc w:val="left"/>
      <w:pPr>
        <w:ind w:left="3416" w:hanging="336"/>
      </w:pPr>
      <w:rPr/>
    </w:lvl>
    <w:lvl w:ilvl="5">
      <w:start w:val="1"/>
      <w:numFmt w:val="lowerRoman"/>
      <w:lvlText w:val="%6."/>
      <w:lvlJc w:val="left"/>
      <w:pPr>
        <w:ind w:left="2536" w:hanging="336"/>
      </w:pPr>
      <w:rPr/>
    </w:lvl>
    <w:lvl w:ilvl="6">
      <w:start w:val="1"/>
      <w:numFmt w:val="decimal"/>
      <w:lvlText w:val="%7."/>
      <w:lvlJc w:val="left"/>
      <w:pPr>
        <w:ind w:left="2976" w:hanging="336"/>
      </w:pPr>
      <w:rPr/>
    </w:lvl>
  </w:abstractNum>
  <w:num w:numId="2">
    <w:abstractNumId w:val="4"/>
  </w:num>
  <w:num w:numId="3">
    <w:abstractNumId w:val="1"/>
  </w:num>
  <w:num w:numId="1">
    <w:abstractNumId w:val="3"/>
  </w:num>
  <w:num w:numId="4">
    <w:abstractNumId w:val="2"/>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useWord2013TrackBottomHyphenation" w:uri="http://schemas.microsoft.com/office/word" w:val="0"/>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plwtxr">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 w:type="paragraph" w:styleId="judgsr">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46rja3">
    <w:name w:val="heading 1"/>
    <w:basedOn w:val="ablt93"/>
    <w:next w:val="ablt93"/>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2026-03-25T11:21:14Z</dcterms:created>
  <dcterms:modified xsi:type="dcterms:W3CDTF">2026-03-25T11:21:14Z</dcterms:modified>
</cp:coreProperties>
</file>