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F4E79"/>
          <w:sz w:val="54"/>
        </w:rPr>
        <w:t>流程行业动态风险管控工具集</w:t>
      </w:r>
    </w:p>
    <w:p>
      <w:pPr>
        <w:jc w:val="center"/>
      </w:pPr>
      <w:r>
        <w:rPr>
          <w:rFonts w:ascii="Microsoft YaHei" w:hAnsi="Microsoft YaHei" w:eastAsia="Microsoft YaHei"/>
          <w:b/>
          <w:color w:val="2F75B5"/>
          <w:sz w:val="46"/>
        </w:rPr>
        <w:t>V1.0 软件使用手册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1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软件形态</w:t>
            </w:r>
          </w:p>
        </w:tc>
        <w:tc>
          <w:tcPr>
            <w:tcW w:type="dxa" w:w="691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BS 本机 Web 版（浏览器访问）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适用对象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普通用户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适用版本</w:t>
            </w:r>
          </w:p>
        </w:tc>
        <w:tc>
          <w:tcPr>
            <w:tcW w:type="dxa" w:w="691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V1.0；构建提交 9bf3f9a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编制日期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2026-08-12</w:t>
            </w:r>
          </w:p>
        </w:tc>
      </w:tr>
    </w:tbl>
    <w:p>
      <w:pPr>
        <w:spacing w:after="20"/>
      </w:pP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2F0D9"/>
            <w:tcBorders>
              <w:top w:val="single" w:sz="5" w:color="5B9BD5"/>
              <w:left w:val="single" w:sz="12" w:color="2F75B5"/>
              <w:bottom w:val="single" w:sz="5" w:color="5B9BD5"/>
              <w:right w:val="single" w:sz="5" w:color="5B9BD5"/>
            </w:tcBorders>
          </w:tcPr>
          <w:p>
            <w:pPr>
              <w:spacing w:after="0"/>
            </w:pPr>
            <w:r/>
            <w:r>
              <w:rPr>
                <w:b/>
                <w:color w:val="1F4E79"/>
                <w:sz w:val="19"/>
              </w:rPr>
              <w:t>使用范围：</w:t>
            </w:r>
            <w:r>
              <w:rPr>
                <w:sz w:val="19"/>
              </w:rPr>
              <w:t>本手册用于指导普通用户访问本机 Web 版软件、完成各功能模块操作并查看分析结果。</w:t>
            </w:r>
          </w:p>
        </w:tc>
      </w:tr>
    </w:tbl>
    <w:p>
      <w:pPr>
        <w:spacing w:after="20"/>
      </w:pPr>
    </w:p>
    <w:p>
      <w:pPr>
        <w:sectPr>
          <w:headerReference w:type="default" r:id="rId9"/>
          <w:footerReference w:type="default" r:id="rId10"/>
          <w:pgSz w:w="11906" w:h="16838"/>
          <w:pgMar w:top="1077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Microsoft YaHei"/>
          <w:sz w:val="21"/>
        </w:rPr>
        <w:t>目录</w:t>
      </w:r>
    </w:p>
    <w:p>
      <w:r>
        <w:rPr>
          <w:rFonts w:ascii="Microsoft YaHei" w:hAnsi="Microsoft YaHei" w:eastAsia="Microsoft YaHei"/>
          <w:sz w:val="21"/>
        </w:rPr>
        <w:fldChar w:fldCharType="begin" w:dirty="true"/>
        <w:instrText xml:space="preserve"> TOC \o "1-3" \h \z \u </w:instrText>
        <w:fldChar w:fldCharType="separate"/>
      </w:r>
      <w:r>
        <w:rPr>
          <w:rFonts w:ascii="Microsoft YaHei" w:hAnsi="Microsoft YaHei" w:eastAsia="Microsoft YaHei"/>
          <w:color w:val="7F7F7F"/>
          <w:sz w:val="21"/>
        </w:rPr>
        <w:t>打开 Microsoft Word 后更新目录</w:t>
      </w:r>
      <w:r>
        <w:rPr>
          <w:rFonts w:ascii="Microsoft YaHei" w:hAnsi="Microsoft YaHei" w:eastAsia="Microsoft YaHei"/>
          <w:sz w:val="21"/>
        </w:rPr>
        <w:fldChar w:fldCharType="end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  <w:tcBorders>
              <w:top w:val="single" w:sz="5" w:color="5B9BD5"/>
              <w:left w:val="single" w:sz="12" w:color="2F75B5"/>
              <w:bottom w:val="single" w:sz="5" w:color="5B9BD5"/>
              <w:right w:val="single" w:sz="5" w:color="5B9BD5"/>
            </w:tcBorders>
          </w:tcPr>
          <w:p>
            <w:pPr>
              <w:spacing w:after="0"/>
            </w:pPr>
            <w:r/>
            <w:r>
              <w:rPr>
                <w:b/>
                <w:color w:val="1F4E79"/>
                <w:sz w:val="19"/>
              </w:rPr>
              <w:t>目录更新：</w:t>
            </w:r>
            <w:r>
              <w:rPr>
                <w:sz w:val="19"/>
              </w:rPr>
              <w:t>右键目录，选择“更新域”，再选择“更新整个目录”。</w:t>
            </w:r>
          </w:p>
        </w:tc>
      </w:tr>
    </w:tbl>
    <w:p>
      <w:pPr>
        <w:spacing w:after="20"/>
      </w:pPr>
    </w:p>
    <w:p>
      <w:pPr>
        <w:sectPr>
          <w:pgSz w:w="11906" w:h="16838"/>
          <w:pgMar w:top="1077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Microsoft YaHei"/>
          <w:sz w:val="21"/>
        </w:rPr>
        <w:t>1 文档说明</w:t>
      </w: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1.1 文档目的</w:t>
      </w:r>
    </w:p>
    <w:p>
      <w:r>
        <w:rPr>
          <w:rFonts w:ascii="Microsoft YaHei" w:hAnsi="Microsoft YaHei" w:eastAsia="Microsoft YaHei"/>
          <w:sz w:val="21"/>
        </w:rPr>
        <w:t>本手册用于指导普通用户完成软件启动与访问、功能模块切换、参数填写、任务执行、结果查看以及常见问题处理。</w:t>
      </w: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1.2 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78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V1.0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2026-08-12</w:t>
            </w:r>
          </w:p>
        </w:tc>
        <w:tc>
          <w:tcPr>
            <w:tcW w:type="dxa" w:w="578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基于当前 BS 本机 Web 版本编制；记录提交 9bf3f9a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-</w:t>
            </w:r>
          </w:p>
        </w:tc>
        <w:tc>
          <w:tcPr>
            <w:tcW w:type="dxa" w:w="578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后续修订请补充变更范围和验证结果。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1.3 术语说明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91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本机 Web 版</w:t>
            </w:r>
          </w:p>
        </w:tc>
        <w:tc>
          <w:tcPr>
            <w:tcW w:type="dxa" w:w="691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在当前计算机启动后，通过浏览器访问的软件版本。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任务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用户提交的一次训练、仿真或分析操作。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异常检测概率图</w:t>
            </w:r>
          </w:p>
        </w:tc>
        <w:tc>
          <w:tcPr>
            <w:tcW w:type="dxa" w:w="691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用于展示异常检测概率变化的结果图。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PFDavg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平均要求时失效概率，用于在线 SIL 验证结果判读。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sz w:val="21"/>
        </w:rPr>
        <w:t>2 软件简介与使用准备</w:t>
      </w:r>
    </w:p>
    <w:p>
      <w:r>
        <w:rPr>
          <w:rFonts w:ascii="Microsoft YaHei" w:hAnsi="Microsoft YaHei" w:eastAsia="Microsoft YaHei"/>
          <w:sz w:val="21"/>
        </w:rPr>
        <w:t>流程行业动态风险管控工具集通过浏览器提供异常检测、风险分析、控制模型训练、控制仿真、SDG-HAZOP 和在线 SIL 验证等功能。普通用户可在统一界面中设置参数、提交任务并查看图表结果。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功能类别</w:t>
            </w:r>
          </w:p>
        </w:tc>
        <w:tc>
          <w:tcPr>
            <w:tcW w:type="dxa" w:w="635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主要用途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异常行为检测</w:t>
            </w:r>
          </w:p>
        </w:tc>
        <w:tc>
          <w:tcPr>
            <w:tcW w:type="dxa" w:w="63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查看网络拓扑和异常检测概率。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风险动态分析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完成威胁分类、风险评分和风险场景动态匹配。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风险管控优化决策</w:t>
            </w:r>
          </w:p>
        </w:tc>
        <w:tc>
          <w:tcPr>
            <w:tcW w:type="dxa" w:w="63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完成控制模型训练评估和优化控制仿真验证。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SIS 自主化检测</w:t>
            </w:r>
          </w:p>
        </w:tc>
        <w:tc>
          <w:tcPr>
            <w:tcW w:type="dxa" w:w="635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配置 SDG 模型并查看 HAZOP 分析及推荐结果。</w:t>
            </w:r>
          </w:p>
        </w:tc>
      </w:tr>
      <w:t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在线 SIL 验证</w:t>
            </w:r>
          </w:p>
        </w:tc>
        <w:tc>
          <w:tcPr>
            <w:tcW w:type="dxa" w:w="635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计算 PFDavg、SIL 等级并查看概率分布。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2.1 使用前准备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确认软件运行环境已由技术支持人员配置完成。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建议使用 Microsoft Edge 或 Google Chrome 浏览器。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准备需要导入的数据文件或模型文件；首次使用时可先采用页面默认参数。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运行耗时任务前关闭不必要的软件，并保持浏览器窗口开启。</w:t>
      </w: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2.2 简易启动与访问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1. 切换到项目目录：</w:t>
      </w:r>
      <w:r>
        <w:rPr>
          <w:rFonts w:ascii="Microsoft YaHei" w:hAnsi="Microsoft YaHei" w:eastAsia="Microsoft YaHei"/>
          <w:sz w:val="21"/>
        </w:rPr>
        <w:t>如果 PowerShell 当前显示的是 C:\Users\... 等其他目录，请先切换到项目根目录。当前部署示例为 D:\ADRL\Platform_sjtu。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F4F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Set-Location 'D:\ADRL\Platform_sjtu'</w:t>
              <w:br/>
            </w:r>
            <w:r>
              <w:rPr>
                <w:rFonts w:ascii="Consolas" w:hAnsi="Consolas" w:eastAsia="Consolas"/>
                <w:sz w:val="17"/>
              </w:rPr>
              <w:t>&amp; '.\scripts\run_web_local.ps1'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1"/>
        </w:rPr>
        <w:t>如果已经位于项目根目录，只需运行第二行；也可以从任意目录直接使用完整路径调用脚本：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F4F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sz w:val="17"/>
              </w:rPr>
              <w:t>&amp; 'D:\ADRL\Platform_sjtu\scripts\run_web_local.ps1'</w:t>
            </w:r>
          </w:p>
        </w:tc>
      </w:tr>
    </w:tbl>
    <w:p>
      <w:pPr>
        <w:spacing w:after="20"/>
      </w:pP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2. 等待启动完成：</w:t>
      </w:r>
      <w:r>
        <w:rPr>
          <w:rFonts w:ascii="Microsoft YaHei" w:hAnsi="Microsoft YaHei" w:eastAsia="Microsoft YaHei"/>
          <w:sz w:val="21"/>
        </w:rPr>
        <w:t>看到“Local Web edition is ready”提示后再打开浏览器。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3. 访问软件：</w:t>
      </w:r>
      <w:r>
        <w:rPr>
          <w:rFonts w:ascii="Microsoft YaHei" w:hAnsi="Microsoft YaHei" w:eastAsia="Microsoft YaHei"/>
          <w:sz w:val="21"/>
        </w:rPr>
        <w:t>在浏览器地址栏输入 http://127.0.0.1:8000。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4. 结束使用：</w:t>
      </w:r>
      <w:r>
        <w:rPr>
          <w:rFonts w:ascii="Microsoft YaHei" w:hAnsi="Microsoft YaHei" w:eastAsia="Microsoft YaHei"/>
          <w:sz w:val="21"/>
        </w:rPr>
        <w:t>关闭浏览器页面；如需停止软件，在启动脚本窗口按 Ctrl+C。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2F0D9"/>
            <w:tcBorders>
              <w:top w:val="single" w:sz="5" w:color="5B9BD5"/>
              <w:left w:val="single" w:sz="12" w:color="2F75B5"/>
              <w:bottom w:val="single" w:sz="5" w:color="5B9BD5"/>
              <w:right w:val="single" w:sz="5" w:color="5B9BD5"/>
            </w:tcBorders>
          </w:tcPr>
          <w:p>
            <w:pPr>
              <w:spacing w:after="0"/>
            </w:pPr>
            <w:r/>
            <w:r>
              <w:rPr>
                <w:b/>
                <w:color w:val="1F4E79"/>
                <w:sz w:val="19"/>
              </w:rPr>
              <w:t>本机访问：</w:t>
            </w:r>
            <w:r>
              <w:rPr>
                <w:sz w:val="19"/>
              </w:rPr>
              <w:t>当前版本仅供启动软件的这台计算机访问。若启动失败，请记录屏幕提示并联系技术支持人员。</w:t>
            </w:r>
          </w:p>
        </w:tc>
      </w:tr>
    </w:tbl>
    <w:p>
      <w:pPr>
        <w:spacing w:after="20"/>
      </w:pPr>
    </w:p>
    <w:p>
      <w:pPr>
        <w:spacing w:after="40"/>
        <w:jc w:val="center"/>
      </w:pPr>
      <w:r>
        <w:rPr>
          <w:rFonts w:ascii="Microsoft YaHei" w:hAnsi="Microsoft YaHei" w:eastAsia="Microsoft YaHei"/>
          <w:sz w:val="21"/>
        </w:rPr>
        <w:drawing>
          <wp:inline xmlns:a="http://schemas.openxmlformats.org/drawingml/2006/main" xmlns:pic="http://schemas.openxmlformats.org/drawingml/2006/picture">
            <wp:extent cx="5580000" cy="406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图 2-1  软件首页与模块导航（实际本机页面截图）</w:t>
      </w:r>
    </w:p>
    <w:p>
      <w:pPr>
        <w:pStyle w:val="Heading1"/>
      </w:pPr>
      <w:r>
        <w:rPr>
          <w:rFonts w:ascii="Microsoft YaHei" w:hAnsi="Microsoft YaHei" w:eastAsia="Microsoft YaHei"/>
          <w:sz w:val="21"/>
        </w:rPr>
        <w:t>3 通用界面操作</w:t>
      </w: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3.1 导航与模块切换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691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操作要点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顶部导航</w:t>
            </w:r>
          </w:p>
        </w:tc>
        <w:tc>
          <w:tcPr>
            <w:tcW w:type="dxa" w:w="691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点击一级模块展开下拉菜单，再点击具体功能；当前页面以高亮状态显示。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参数面板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输入框通常带默认值和范围限制；失焦或提交时执行边界校验。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任务状态</w:t>
            </w:r>
          </w:p>
        </w:tc>
        <w:tc>
          <w:tcPr>
            <w:tcW w:type="dxa" w:w="691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等待、运行、完成、失败由状态条和进度信息表示；训练/仿真期间不要重复提交。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结果区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任务完成后显示结果图、评分、曲线或文字说明。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提示信息</w:t>
            </w:r>
          </w:p>
        </w:tc>
        <w:tc>
          <w:tcPr>
            <w:tcW w:type="dxa" w:w="691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出现提示弹窗时，先按提示修正参数或文件选择，再重新提交。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3.2 参数填写与任务状态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首次使用建议保留默认参数，确认流程正常后再逐项调整。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带范围限制的数值必须在页面允许区间内，文件路径应指向可用文件。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任务处于等待或运行状态时请勿重复点击执行按钮。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任务失败时记录模块名称、输入参数和完整错误提示，便于技术支持人员处理。</w:t>
      </w: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3.3 刷新与重新进入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仅查看已显示结果时可以刷新页面。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任务仍在运行时不要关闭浏览器；如误刷新，可重新进入对应模块查看状态。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页面显示异常或按钮无响应时，可先按 Ctrl+F5 强制刷新，再重新操作。</w:t>
      </w:r>
    </w:p>
    <w:p>
      <w:pPr>
        <w:spacing w:after="40"/>
        <w:jc w:val="center"/>
      </w:pPr>
      <w:r>
        <w:rPr>
          <w:rFonts w:ascii="Microsoft YaHei" w:hAnsi="Microsoft YaHei" w:eastAsia="Microsoft YaHei"/>
          <w:sz w:val="21"/>
        </w:rPr>
        <w:drawing>
          <wp:inline xmlns:a="http://schemas.openxmlformats.org/drawingml/2006/main" xmlns:pic="http://schemas.openxmlformats.org/drawingml/2006/picture">
            <wp:extent cx="5580000" cy="38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valid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图 3-1  参数或运行条件提示弹窗示例</w:t>
      </w: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4.1 基于移动目标防御的异常检测</w:t>
      </w:r>
    </w:p>
    <w:p>
      <w:r>
        <w:rPr>
          <w:rFonts w:ascii="Microsoft YaHei" w:hAnsi="Microsoft YaHei" w:eastAsia="Microsoft YaHei"/>
          <w:sz w:val="21"/>
        </w:rPr>
        <w:t>根据网络拓扑、攻击强度、测量噪声和过程扰动进行分析，输出网络拓扑图和异常检测概率图。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使用前准备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系统运行环境已由技术支持人员配置完成。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异常检测页面可以正常打开；运行环境相关输入保持默认值。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参数说明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参数/区域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运行环境相关输入</w:t>
            </w:r>
          </w:p>
        </w:tc>
        <w:tc>
          <w:tcPr>
            <w:tcW w:type="dxa" w:w="680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保持页面默认值，不建议普通用户修改。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攻击强度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默认 5-10%；允许范围 5-50%。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测量噪声</w:t>
            </w:r>
          </w:p>
        </w:tc>
        <w:tc>
          <w:tcPr>
            <w:tcW w:type="dxa" w:w="680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默认 2%；允许范围 1-30%。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过程扰动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默认 5%；允许范围 1-30%。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结果标签</w:t>
            </w:r>
          </w:p>
        </w:tc>
        <w:tc>
          <w:tcPr>
            <w:tcW w:type="dxa" w:w="680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网络拓扑图、异常检测概率图。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操作步骤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1. 确认默认设置：</w:t>
      </w:r>
      <w:r>
        <w:rPr>
          <w:rFonts w:ascii="Microsoft YaHei" w:hAnsi="Microsoft YaHei" w:eastAsia="Microsoft YaHei"/>
          <w:sz w:val="21"/>
        </w:rPr>
        <w:t>保持页面中的运行环境相关输入不变。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2. 设置参数：</w:t>
      </w:r>
      <w:r>
        <w:rPr>
          <w:rFonts w:ascii="Microsoft YaHei" w:hAnsi="Microsoft YaHei" w:eastAsia="Microsoft YaHei"/>
          <w:sz w:val="21"/>
        </w:rPr>
        <w:t>输入攻击强度、噪声和扰动范围，保持在边界内。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3. 提交任务：</w:t>
      </w:r>
      <w:r>
        <w:rPr>
          <w:rFonts w:ascii="Microsoft YaHei" w:hAnsi="Microsoft YaHei" w:eastAsia="Microsoft YaHei"/>
          <w:sz w:val="21"/>
        </w:rPr>
        <w:t>点击执行，等待状态变为完成。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4. 查看结果：</w:t>
      </w:r>
      <w:r>
        <w:rPr>
          <w:rFonts w:ascii="Microsoft YaHei" w:hAnsi="Microsoft YaHei" w:eastAsia="Microsoft YaHei"/>
          <w:sz w:val="21"/>
        </w:rPr>
        <w:t>先查看拓扑图，再切换到异常检测概率图。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结果解读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拓扑图用于确认节点和链路结构。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异常检测概率图用于观察不同条件下的检测概率变化。</w:t>
      </w:r>
    </w:p>
    <w:p>
      <w:pPr>
        <w:spacing w:after="40"/>
        <w:jc w:val="center"/>
      </w:pPr>
      <w:r>
        <w:rPr>
          <w:rFonts w:ascii="Microsoft YaHei" w:hAnsi="Microsoft YaHei" w:eastAsia="Microsoft YaHei"/>
          <w:sz w:val="21"/>
        </w:rPr>
        <w:drawing>
          <wp:inline xmlns:a="http://schemas.openxmlformats.org/drawingml/2006/main" xmlns:pic="http://schemas.openxmlformats.org/drawingml/2006/picture">
            <wp:extent cx="4860000" cy="42422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-topolog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242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图 4-2  网络拓扑图样例</w:t>
      </w:r>
    </w:p>
    <w:p>
      <w:pPr>
        <w:spacing w:after="40"/>
        <w:jc w:val="center"/>
      </w:pPr>
      <w:r>
        <w:rPr>
          <w:rFonts w:ascii="Microsoft YaHei" w:hAnsi="Microsoft YaHei" w:eastAsia="Microsoft YaHei"/>
          <w:sz w:val="21"/>
        </w:rPr>
        <w:drawing>
          <wp:inline xmlns:a="http://schemas.openxmlformats.org/drawingml/2006/main" xmlns:pic="http://schemas.openxmlformats.org/drawingml/2006/picture">
            <wp:extent cx="4860000" cy="39303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-detection-probabi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930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图 4-3  异常检测概率图样例</w:t>
      </w:r>
    </w:p>
    <w:p>
      <w:pPr>
        <w:spacing w:after="40"/>
        <w:jc w:val="center"/>
      </w:pPr>
      <w:r>
        <w:rPr>
          <w:rFonts w:ascii="Microsoft YaHei" w:hAnsi="Microsoft YaHei" w:eastAsia="Microsoft YaHei"/>
          <w:sz w:val="21"/>
        </w:rPr>
        <w:drawing>
          <wp:inline xmlns:a="http://schemas.openxmlformats.org/drawingml/2006/main" xmlns:pic="http://schemas.openxmlformats.org/drawingml/2006/picture">
            <wp:extent cx="5580000" cy="38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nomaly-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图 4-1  异常检测参数与异常检测概率图（实际页面截图）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常见问题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参数无法提交：检查数值是否在允许范围内。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出现运行环境提示：保留完整弹窗内容并联系技术支持人员。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结果图未显示：确认任务已完成后刷新页面；仍无结果时记录任务信息。</w:t>
      </w: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4.2 潜在安全威胁识别与自动分类</w:t>
      </w:r>
    </w:p>
    <w:p>
      <w:r>
        <w:rPr>
          <w:rFonts w:ascii="Microsoft YaHei" w:hAnsi="Microsoft YaHei" w:eastAsia="Microsoft YaHei"/>
          <w:sz w:val="21"/>
        </w:rPr>
        <w:t>使用分类数据集训练模型并展示混淆矩阵、识别召回率和最佳准确率。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使用前准备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页面中的 original、easy、hard 数据集可以正常选择。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如使用自定义数据，应先由技术支持人员确认格式。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参数说明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参数/区域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数据集</w:t>
            </w:r>
          </w:p>
        </w:tc>
        <w:tc>
          <w:tcPr>
            <w:tcW w:type="dxa" w:w="680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original、easy 或 hard。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Epochs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训练轮数，范围 1-500，默认值以页面显示为准。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Batch Size</w:t>
            </w:r>
          </w:p>
        </w:tc>
        <w:tc>
          <w:tcPr>
            <w:tcW w:type="dxa" w:w="680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批大小，范围 8-256。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Learning Rate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学习率，范围 0.0001-0.1。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操作步骤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1. 选择数据集：</w:t>
      </w:r>
      <w:r>
        <w:rPr>
          <w:rFonts w:ascii="Microsoft YaHei" w:hAnsi="Microsoft YaHei" w:eastAsia="Microsoft YaHei"/>
          <w:sz w:val="21"/>
        </w:rPr>
        <w:t>按难度或原始数据选择 original/easy/hard。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2. 填写超参数：</w:t>
      </w:r>
      <w:r>
        <w:rPr>
          <w:rFonts w:ascii="Microsoft YaHei" w:hAnsi="Microsoft YaHei" w:eastAsia="Microsoft YaHei"/>
          <w:sz w:val="21"/>
        </w:rPr>
        <w:t>输入轮数、批大小和学习率。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3. 开始训练：</w:t>
      </w:r>
      <w:r>
        <w:rPr>
          <w:rFonts w:ascii="Microsoft YaHei" w:hAnsi="Microsoft YaHei" w:eastAsia="Microsoft YaHei"/>
          <w:sz w:val="21"/>
        </w:rPr>
        <w:t>提交后观察任务进度，不要关闭页面。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4. 查看指标：</w:t>
      </w:r>
      <w:r>
        <w:rPr>
          <w:rFonts w:ascii="Microsoft YaHei" w:hAnsi="Microsoft YaHei" w:eastAsia="Microsoft YaHei"/>
          <w:sz w:val="21"/>
        </w:rPr>
        <w:t>完成后查看混淆矩阵、召回率和准确率。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结果解读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混淆矩阵用于观察各类误判方向；召回率反映真实威胁被识别的比例。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最佳准确率用于比较不同数据集或超参数组合，不应脱离测试集规模单独解读。</w:t>
      </w:r>
    </w:p>
    <w:p>
      <w:pPr>
        <w:spacing w:after="40"/>
        <w:jc w:val="center"/>
      </w:pPr>
      <w:r>
        <w:rPr>
          <w:rFonts w:ascii="Microsoft YaHei" w:hAnsi="Microsoft YaHei" w:eastAsia="Microsoft YaHei"/>
          <w:sz w:val="21"/>
        </w:rPr>
        <w:drawing>
          <wp:inline xmlns:a="http://schemas.openxmlformats.org/drawingml/2006/main" xmlns:pic="http://schemas.openxmlformats.org/drawingml/2006/picture">
            <wp:extent cx="5580000" cy="38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lassific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图 4-4  分类模块输入界面（实际页面截图）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常见问题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数据集读取失败：重新选择数据集；仍失败时记录错误提示。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参数超出范围：按页面提示修正后重新提交。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训练失败：不要连续重复提交，记录当前参数并联系技术支持人员。</w:t>
      </w: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4.3 多评估准则融合的风险学习分析</w:t>
      </w:r>
    </w:p>
    <w:p>
      <w:r>
        <w:rPr>
          <w:rFonts w:ascii="Microsoft YaHei" w:hAnsi="Microsoft YaHei" w:eastAsia="Microsoft YaHei"/>
          <w:sz w:val="21"/>
        </w:rPr>
        <w:t>对多项风险指标按权重融合，支持手工输入或随机生成指标，并以雷达图、综合评分和危险分数展示结果。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使用前准备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风险指标和权重的业务含义已经确认。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参数说明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参数/区域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指标值</w:t>
            </w:r>
          </w:p>
        </w:tc>
        <w:tc>
          <w:tcPr>
            <w:tcW w:type="dxa" w:w="680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按页面列出的指标输入数值。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权重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为各指标配置权重；权重应与指标行对应。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随机数据</w:t>
            </w:r>
          </w:p>
        </w:tc>
        <w:tc>
          <w:tcPr>
            <w:tcW w:type="dxa" w:w="680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快速生成一组可复现/可比较的示例指标。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结果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雷达图、综合评分、危险分数。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操作步骤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1. 配置指标：</w:t>
      </w:r>
      <w:r>
        <w:rPr>
          <w:rFonts w:ascii="Microsoft YaHei" w:hAnsi="Microsoft YaHei" w:eastAsia="Microsoft YaHei"/>
          <w:sz w:val="21"/>
        </w:rPr>
        <w:t>输入指标值并检查权重。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2. 生成或评估：</w:t>
      </w:r>
      <w:r>
        <w:rPr>
          <w:rFonts w:ascii="Microsoft YaHei" w:hAnsi="Microsoft YaHei" w:eastAsia="Microsoft YaHei"/>
          <w:sz w:val="21"/>
        </w:rPr>
        <w:t>可先使用随机数据，再点击评估。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3. 比较结果：</w:t>
      </w:r>
      <w:r>
        <w:rPr>
          <w:rFonts w:ascii="Microsoft YaHei" w:hAnsi="Microsoft YaHei" w:eastAsia="Microsoft YaHei"/>
          <w:sz w:val="21"/>
        </w:rPr>
        <w:t>观察雷达图形状以及综合分与危险分数。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结果解读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雷达图适合查看指标间相对差异；综合评分用于整体比较，危险分数用于风险等级判读。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调整权重会改变综合结果，应记录业务依据。</w:t>
      </w:r>
    </w:p>
    <w:p>
      <w:pPr>
        <w:spacing w:after="40"/>
        <w:jc w:val="center"/>
      </w:pPr>
      <w:r>
        <w:rPr>
          <w:rFonts w:ascii="Microsoft YaHei" w:hAnsi="Microsoft YaHei" w:eastAsia="Microsoft YaHei"/>
          <w:sz w:val="21"/>
        </w:rPr>
        <w:drawing>
          <wp:inline xmlns:a="http://schemas.openxmlformats.org/drawingml/2006/main" xmlns:pic="http://schemas.openxmlformats.org/drawingml/2006/picture">
            <wp:extent cx="5580000" cy="4068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co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图 4-5  风险学习分析界面（实际页面截图）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常见问题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权重和不符合要求：检查空值、负值或合计规则。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结果为空：先生成/输入指标，再执行评估。</w:t>
      </w: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4.4 风险场景动态匹配与适配方案生成算法</w:t>
      </w:r>
    </w:p>
    <w:p>
      <w:r>
        <w:rPr>
          <w:rFonts w:ascii="Microsoft YaHei" w:hAnsi="Microsoft YaHei" w:eastAsia="Microsoft YaHei"/>
          <w:sz w:val="21"/>
        </w:rPr>
        <w:t>根据样例数据、时间步长、预测域和起始样本进行风险趋势分析，输出 CV、U_now、U_after 向量及适配方案。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使用前准备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系统已准备可用的分析数据。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时间步长、预测域和起始样本的业务范围已经确认。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参数说明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参数/区域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时间步长</w:t>
            </w:r>
          </w:p>
        </w:tc>
        <w:tc>
          <w:tcPr>
            <w:tcW w:type="dxa" w:w="680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风险趋势计算的时间间隔。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预测域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向前预测的步数/范围。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起始样本</w:t>
            </w:r>
          </w:p>
        </w:tc>
        <w:tc>
          <w:tcPr>
            <w:tcW w:type="dxa" w:w="680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从数据集哪个样本开始分析。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CV/U 向量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页面展示当前场景、当前控制和适配后控制向量。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操作步骤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1. 选择数据：</w:t>
      </w:r>
      <w:r>
        <w:rPr>
          <w:rFonts w:ascii="Microsoft YaHei" w:hAnsi="Microsoft YaHei" w:eastAsia="Microsoft YaHei"/>
          <w:sz w:val="21"/>
        </w:rPr>
        <w:t>确认页面已显示可用的样例或指定数据。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2. 配置窗口：</w:t>
      </w:r>
      <w:r>
        <w:rPr>
          <w:rFonts w:ascii="Microsoft YaHei" w:hAnsi="Microsoft YaHei" w:eastAsia="Microsoft YaHei"/>
          <w:sz w:val="21"/>
        </w:rPr>
        <w:t>填写时间步长、预测域和起始样本。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3. 执行分析：</w:t>
      </w:r>
      <w:r>
        <w:rPr>
          <w:rFonts w:ascii="Microsoft YaHei" w:hAnsi="Microsoft YaHei" w:eastAsia="Microsoft YaHei"/>
          <w:sz w:val="21"/>
        </w:rPr>
        <w:t>提交任务并等待结果。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4. 查看方案：</w:t>
      </w:r>
      <w:r>
        <w:rPr>
          <w:rFonts w:ascii="Microsoft YaHei" w:hAnsi="Microsoft YaHei" w:eastAsia="Microsoft YaHei"/>
          <w:sz w:val="21"/>
        </w:rPr>
        <w:t>阅读风险趋势和适配方案文本。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结果解读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风险趋势图反映预测窗口内变化；CV、U_now、U_after 用于解释当前状态和适配动作。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适配方案应结合工艺上下文复核，不能替代现场安全决策。</w:t>
      </w:r>
    </w:p>
    <w:p>
      <w:pPr>
        <w:spacing w:after="40"/>
        <w:jc w:val="center"/>
      </w:pPr>
      <w:r>
        <w:rPr>
          <w:rFonts w:ascii="Microsoft YaHei" w:hAnsi="Microsoft YaHei" w:eastAsia="Microsoft YaHei"/>
          <w:sz w:val="21"/>
        </w:rPr>
        <w:drawing>
          <wp:inline xmlns:a="http://schemas.openxmlformats.org/drawingml/2006/main" xmlns:pic="http://schemas.openxmlformats.org/drawingml/2006/picture">
            <wp:extent cx="5580000" cy="387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dq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图 4-6  CDQ 参数与结果区域（实际页面截图）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常见问题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数据无法读取：重新选择数据并记录提示信息。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样本索引越界：减小起始样本或预测域。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结果为空：确认任务已完成；仍为空时联系技术支持人员。</w:t>
      </w: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4.5 控制模型训练评估</w:t>
      </w:r>
    </w:p>
    <w:p>
      <w:r>
        <w:rPr>
          <w:rFonts w:ascii="Microsoft YaHei" w:hAnsi="Microsoft YaHei" w:eastAsia="Microsoft YaHei"/>
          <w:sz w:val="21"/>
        </w:rPr>
        <w:t>生成或读取过程控制数据，训练 DNN 模型并查看训练性能、预测误差和模型文件。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使用前准备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系统运行环境已由技术支持人员配置完成。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如使用外部数据，准备符合要求的 .mat 文件。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参数说明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参数/区域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样本数</w:t>
            </w:r>
          </w:p>
        </w:tc>
        <w:tc>
          <w:tcPr>
            <w:tcW w:type="dxa" w:w="680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默认 1000；允许范围 100-100000。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训练轮数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默认 50；允许范围 1-5000。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隐藏层规模</w:t>
            </w:r>
          </w:p>
        </w:tc>
        <w:tc>
          <w:tcPr>
            <w:tcW w:type="dxa" w:w="680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默认 64,64；最多 10 层，每层 1-4096。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外部 .mat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可选；使用前确认文件来源和格式。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模型文件</w:t>
            </w:r>
          </w:p>
        </w:tc>
        <w:tc>
          <w:tcPr>
            <w:tcW w:type="dxa" w:w="680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训练完成后由系统保存，供优化控制仿真使用。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操作步骤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1. 确认数据：</w:t>
      </w:r>
      <w:r>
        <w:rPr>
          <w:rFonts w:ascii="Microsoft YaHei" w:hAnsi="Microsoft YaHei" w:eastAsia="Microsoft YaHei"/>
          <w:sz w:val="21"/>
        </w:rPr>
        <w:t>选择系统生成数据或有效的外部数据文件。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2. 配置训练：</w:t>
      </w:r>
      <w:r>
        <w:rPr>
          <w:rFonts w:ascii="Microsoft YaHei" w:hAnsi="Microsoft YaHei" w:eastAsia="Microsoft YaHei"/>
          <w:sz w:val="21"/>
        </w:rPr>
        <w:t>设置样本数、轮数和隐藏层规模。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3. 提交训练：</w:t>
      </w:r>
      <w:r>
        <w:rPr>
          <w:rFonts w:ascii="Microsoft YaHei" w:hAnsi="Microsoft YaHei" w:eastAsia="Microsoft YaHei"/>
          <w:sz w:val="21"/>
        </w:rPr>
        <w:t>观察任务进度，训练过程中保持页面开启。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4. 查看结果：</w:t>
      </w:r>
      <w:r>
        <w:rPr>
          <w:rFonts w:ascii="Microsoft YaHei" w:hAnsi="Microsoft YaHei" w:eastAsia="Microsoft YaHei"/>
          <w:sz w:val="21"/>
        </w:rPr>
        <w:t>确认训练性能图、预测误差图和模型生成状态。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结果解读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训练性能图用于观察训练过程是否趋于稳定。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预测误差图用于查看模型预测偏差；生成的模型可供优化控制仿真使用。</w:t>
      </w:r>
    </w:p>
    <w:p>
      <w:pPr>
        <w:spacing w:after="40"/>
        <w:jc w:val="center"/>
      </w:pPr>
      <w:r>
        <w:rPr>
          <w:rFonts w:ascii="Microsoft YaHei" w:hAnsi="Microsoft YaHei" w:eastAsia="Microsoft YaHei"/>
          <w:sz w:val="21"/>
        </w:rPr>
        <w:drawing>
          <wp:inline xmlns:a="http://schemas.openxmlformats.org/drawingml/2006/main" xmlns:pic="http://schemas.openxmlformats.org/drawingml/2006/picture">
            <wp:extent cx="4860000" cy="36436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-training-performa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43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图 4-8  训练性能图样例</w:t>
      </w:r>
    </w:p>
    <w:p>
      <w:pPr>
        <w:spacing w:after="40"/>
        <w:jc w:val="center"/>
      </w:pPr>
      <w:r>
        <w:rPr>
          <w:rFonts w:ascii="Microsoft YaHei" w:hAnsi="Microsoft YaHei" w:eastAsia="Microsoft YaHei"/>
          <w:sz w:val="21"/>
        </w:rPr>
        <w:drawing>
          <wp:inline xmlns:a="http://schemas.openxmlformats.org/drawingml/2006/main" xmlns:pic="http://schemas.openxmlformats.org/drawingml/2006/picture">
            <wp:extent cx="4860000" cy="36436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-prediction-err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43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图 4-9  预测误差图样例</w:t>
      </w:r>
    </w:p>
    <w:p>
      <w:pPr>
        <w:spacing w:after="40"/>
        <w:jc w:val="center"/>
      </w:pPr>
      <w:r>
        <w:rPr>
          <w:rFonts w:ascii="Microsoft YaHei" w:hAnsi="Microsoft YaHei" w:eastAsia="Microsoft YaHei"/>
          <w:sz w:val="21"/>
        </w:rPr>
        <w:drawing>
          <wp:inline xmlns:a="http://schemas.openxmlformats.org/drawingml/2006/main" xmlns:pic="http://schemas.openxmlformats.org/drawingml/2006/picture">
            <wp:extent cx="5580000" cy="387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rain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图 4-7  DNNTrain 参数与训练性能图（实际页面截图）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常见问题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样本数或轮数超限：按页面范围调整。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外部数据无法读取：重新选择文件并确认格式。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训练中断或结果缺失：记录当前参数和错误提示并联系技术支持人员。</w:t>
      </w: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4.6 优化控制仿真验证</w:t>
      </w:r>
    </w:p>
    <w:p>
      <w:r>
        <w:rPr>
          <w:rFonts w:ascii="Microsoft YaHei" w:hAnsi="Microsoft YaHei" w:eastAsia="Microsoft YaHei"/>
          <w:sz w:val="21"/>
        </w:rPr>
        <w:t>加载 DNN 模型执行 MPC 仿真，输出过程轨迹、控制输入、跟踪误差和代价曲线。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使用前准备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先完成控制模型训练，或准备有效的 DNN 模型文件。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确认模型文件与当前仿真任务匹配。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参数说明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参数/区域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DNN 模型</w:t>
            </w:r>
          </w:p>
        </w:tc>
        <w:tc>
          <w:tcPr>
            <w:tcW w:type="dxa" w:w="680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选择训练完成后生成的模型文件。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仿真时长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范围 0.2-20 秒。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预测时域</w:t>
            </w:r>
          </w:p>
        </w:tc>
        <w:tc>
          <w:tcPr>
            <w:tcW w:type="dxa" w:w="680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范围 1-60。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输出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过程轨迹、控制输入、跟踪误差和代价曲线。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操作步骤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1. 选择模型：</w:t>
      </w:r>
      <w:r>
        <w:rPr>
          <w:rFonts w:ascii="Microsoft YaHei" w:hAnsi="Microsoft YaHei" w:eastAsia="Microsoft YaHei"/>
          <w:sz w:val="21"/>
        </w:rPr>
        <w:t>填写或选择已训练模型文件。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2. 配置仿真：</w:t>
      </w:r>
      <w:r>
        <w:rPr>
          <w:rFonts w:ascii="Microsoft YaHei" w:hAnsi="Microsoft YaHei" w:eastAsia="Microsoft YaHei"/>
          <w:sz w:val="21"/>
        </w:rPr>
        <w:t>设置仿真时长和预测时域。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3. 提交 MPC：</w:t>
      </w:r>
      <w:r>
        <w:rPr>
          <w:rFonts w:ascii="Microsoft YaHei" w:hAnsi="Microsoft YaHei" w:eastAsia="Microsoft YaHei"/>
          <w:sz w:val="21"/>
        </w:rPr>
        <w:t>等待任务完成。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4. 解释曲线：</w:t>
      </w:r>
      <w:r>
        <w:rPr>
          <w:rFonts w:ascii="Microsoft YaHei" w:hAnsi="Microsoft YaHei" w:eastAsia="Microsoft YaHei"/>
          <w:sz w:val="21"/>
        </w:rPr>
        <w:t>联合观察轨迹、控制输入、跟踪误差和代价。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结果解读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轨迹图用于判断状态跟踪；控制输入用于检查执行器动作；跟踪误差和代价曲线用于比较控制品质。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仿真结果应结合模型训练数据和工艺约束一起复核。</w:t>
      </w:r>
    </w:p>
    <w:p>
      <w:pPr>
        <w:spacing w:after="40"/>
        <w:jc w:val="center"/>
      </w:pPr>
      <w:r>
        <w:rPr>
          <w:rFonts w:ascii="Microsoft YaHei" w:hAnsi="Microsoft YaHei" w:eastAsia="Microsoft YaHei"/>
          <w:sz w:val="21"/>
        </w:rPr>
        <w:drawing>
          <wp:inline xmlns:a="http://schemas.openxmlformats.org/drawingml/2006/main" xmlns:pic="http://schemas.openxmlformats.org/drawingml/2006/picture">
            <wp:extent cx="4860000" cy="48634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-process-control-trajecto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863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图 4-11  过程控制轨迹样例</w:t>
      </w:r>
    </w:p>
    <w:p>
      <w:pPr>
        <w:spacing w:after="40"/>
        <w:jc w:val="center"/>
      </w:pPr>
      <w:r>
        <w:rPr>
          <w:rFonts w:ascii="Microsoft YaHei" w:hAnsi="Microsoft YaHei" w:eastAsia="Microsoft YaHei"/>
          <w:sz w:val="21"/>
        </w:rPr>
        <w:drawing>
          <wp:inline xmlns:a="http://schemas.openxmlformats.org/drawingml/2006/main" xmlns:pic="http://schemas.openxmlformats.org/drawingml/2006/picture">
            <wp:extent cx="4860000" cy="364361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-control-inpu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43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图 4-12  控制输入样例</w:t>
      </w:r>
    </w:p>
    <w:p>
      <w:pPr>
        <w:spacing w:after="40"/>
        <w:jc w:val="center"/>
      </w:pPr>
      <w:r>
        <w:rPr>
          <w:rFonts w:ascii="Microsoft YaHei" w:hAnsi="Microsoft YaHei" w:eastAsia="Microsoft YaHei"/>
          <w:sz w:val="21"/>
        </w:rPr>
        <w:drawing>
          <wp:inline xmlns:a="http://schemas.openxmlformats.org/drawingml/2006/main" xmlns:pic="http://schemas.openxmlformats.org/drawingml/2006/picture">
            <wp:extent cx="4860000" cy="364361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-tracking-erro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43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图 4-13  跟踪误差样例</w:t>
      </w:r>
    </w:p>
    <w:p>
      <w:pPr>
        <w:spacing w:after="40"/>
        <w:jc w:val="center"/>
      </w:pPr>
      <w:r>
        <w:rPr>
          <w:rFonts w:ascii="Microsoft YaHei" w:hAnsi="Microsoft YaHei" w:eastAsia="Microsoft YaHei"/>
          <w:sz w:val="21"/>
        </w:rPr>
        <w:drawing>
          <wp:inline xmlns:a="http://schemas.openxmlformats.org/drawingml/2006/main" xmlns:pic="http://schemas.openxmlformats.org/drawingml/2006/picture">
            <wp:extent cx="4860000" cy="364361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-cost-curv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43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图 4-14  代价曲线样例</w:t>
      </w:r>
    </w:p>
    <w:p>
      <w:pPr>
        <w:spacing w:after="40"/>
        <w:jc w:val="center"/>
      </w:pPr>
      <w:r>
        <w:rPr>
          <w:rFonts w:ascii="Microsoft YaHei" w:hAnsi="Microsoft YaHei" w:eastAsia="Microsoft YaHei"/>
          <w:sz w:val="21"/>
        </w:rPr>
        <w:drawing>
          <wp:inline xmlns:a="http://schemas.openxmlformats.org/drawingml/2006/main" xmlns:pic="http://schemas.openxmlformats.org/drawingml/2006/picture">
            <wp:extent cx="5580000" cy="3875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mp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图 4-10  MPC 仿真界面（实际页面截图）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常见问题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模型无法读取：重新选择正确的模型文件。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仿真参数越界：按页面范围修正。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结果图缺失：确认任务已完成；仍缺失时记录提示并联系技术支持人员。</w:t>
      </w: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4.7 SDG-HAZOP</w:t>
      </w:r>
    </w:p>
    <w:p>
      <w:r>
        <w:rPr>
          <w:rFonts w:ascii="Microsoft YaHei" w:hAnsi="Microsoft YaHei" w:eastAsia="Microsoft YaHei"/>
          <w:sz w:val="21"/>
        </w:rPr>
        <w:t>配置 SDG 节点和边，结合概率与模糊术语开展 HAZOP 分析，并生成 SIS 推荐结果。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使用前准备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页面可加载示例配置；如使用自定义场景，准备节点、边及术语参数。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参数说明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参数/区域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节点/边</w:t>
            </w:r>
          </w:p>
        </w:tc>
        <w:tc>
          <w:tcPr>
            <w:tcW w:type="dxa" w:w="680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描述工艺节点及其连接关系。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概率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输入事件/状态概率。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模糊术语</w:t>
            </w:r>
          </w:p>
        </w:tc>
        <w:tc>
          <w:tcPr>
            <w:tcW w:type="dxa" w:w="680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使用页面支持的模糊语言变量。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分析结果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风险分析、关键路径和 SIS 推荐。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操作步骤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1. 加载示例：</w:t>
      </w:r>
      <w:r>
        <w:rPr>
          <w:rFonts w:ascii="Microsoft YaHei" w:hAnsi="Microsoft YaHei" w:eastAsia="Microsoft YaHei"/>
          <w:sz w:val="21"/>
        </w:rPr>
        <w:t>先使用示例配置确认页面和图形正常。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2. 编辑图模型：</w:t>
      </w:r>
      <w:r>
        <w:rPr>
          <w:rFonts w:ascii="Microsoft YaHei" w:hAnsi="Microsoft YaHei" w:eastAsia="Microsoft YaHei"/>
          <w:sz w:val="21"/>
        </w:rPr>
        <w:t>增加/删除节点和边，保持关系闭合。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3. 配置术语：</w:t>
      </w:r>
      <w:r>
        <w:rPr>
          <w:rFonts w:ascii="Microsoft YaHei" w:hAnsi="Microsoft YaHei" w:eastAsia="Microsoft YaHei"/>
          <w:sz w:val="21"/>
        </w:rPr>
        <w:t>填写概率和模糊项。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4. 执行分析：</w:t>
      </w:r>
      <w:r>
        <w:rPr>
          <w:rFonts w:ascii="Microsoft YaHei" w:hAnsi="Microsoft YaHei" w:eastAsia="Microsoft YaHei"/>
          <w:sz w:val="21"/>
        </w:rPr>
        <w:t>查看风险结果与推荐说明。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结果解读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图形区域用于检查结构；分析区用于查看 HAZOP 风险项和 SIS 建议。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推荐结果需由工艺和功能安全人员复核。</w:t>
      </w:r>
    </w:p>
    <w:p>
      <w:pPr>
        <w:spacing w:after="40"/>
        <w:jc w:val="center"/>
      </w:pPr>
      <w:r>
        <w:rPr>
          <w:rFonts w:ascii="Microsoft YaHei" w:hAnsi="Microsoft YaHei" w:eastAsia="Microsoft YaHei"/>
          <w:sz w:val="21"/>
        </w:rPr>
        <w:drawing>
          <wp:inline xmlns:a="http://schemas.openxmlformats.org/drawingml/2006/main" xmlns:pic="http://schemas.openxmlformats.org/drawingml/2006/picture">
            <wp:extent cx="5580000" cy="4068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图 4-15  SDG-HAZOP 图模型与配置（实际页面截图）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常见问题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节点/边格式错误：检查 ID 唯一性和引用关系。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概率或术语缺失：补齐必填配置后再分析。</w:t>
      </w: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4.8 在线 SIL 验证</w:t>
      </w:r>
    </w:p>
    <w:p>
      <w:r>
        <w:rPr>
          <w:rFonts w:ascii="Microsoft YaHei" w:hAnsi="Microsoft YaHei" w:eastAsia="Microsoft YaHei"/>
          <w:sz w:val="21"/>
        </w:rPr>
        <w:t>基于 GSPN-MC 模型，对 M/N 表决结构和共因失效参数进行蒙特卡洛仿真，输出 PFDavg、SIL 结果和概率分布图。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使用前准备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确认仿真参数符合项目安全分析口径。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任务运行期间保持浏览器页面开启；大规模仿真可能耗时较长。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参数说明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参数/区域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M/N</w:t>
            </w:r>
          </w:p>
        </w:tc>
        <w:tc>
          <w:tcPr>
            <w:tcW w:type="dxa" w:w="680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M/N 表决结构，页面范围 1-10。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失效率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可直接输入 lambda（FIT）或选择估算。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TI/MRT</w:t>
            </w:r>
          </w:p>
        </w:tc>
        <w:tc>
          <w:tcPr>
            <w:tcW w:type="dxa" w:w="680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测试间隔、平均修复时间。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Total/Partial beta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总共因失效和部分共因失效比例。</w:t>
            </w:r>
          </w:p>
        </w:tc>
      </w:tr>
      <w:t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仿真</w:t>
            </w:r>
          </w:p>
        </w:tc>
        <w:tc>
          <w:tcPr>
            <w:tcW w:type="dxa" w:w="680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默认 nsim=500、years=10000；按页面范围调整。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操作步骤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1. 设置结构：</w:t>
      </w:r>
      <w:r>
        <w:rPr>
          <w:rFonts w:ascii="Microsoft YaHei" w:hAnsi="Microsoft YaHei" w:eastAsia="Microsoft YaHei"/>
          <w:sz w:val="21"/>
        </w:rPr>
        <w:t>填写 M、N 以及失效率。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2. 设置维护参数：</w:t>
      </w:r>
      <w:r>
        <w:rPr>
          <w:rFonts w:ascii="Microsoft YaHei" w:hAnsi="Microsoft YaHei" w:eastAsia="Microsoft YaHei"/>
          <w:sz w:val="21"/>
        </w:rPr>
        <w:t>填写 TI、MRT 和共因失效参数。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3. 设置仿真规模：</w:t>
      </w:r>
      <w:r>
        <w:rPr>
          <w:rFonts w:ascii="Microsoft YaHei" w:hAnsi="Microsoft YaHei" w:eastAsia="Microsoft YaHei"/>
          <w:sz w:val="21"/>
        </w:rPr>
        <w:t>配置仿真次数和仿真年数。</w:t>
      </w:r>
    </w:p>
    <w:p>
      <w:pPr>
        <w:spacing w:after="60"/>
        <w:ind w:left="142"/>
      </w:pPr>
      <w:r>
        <w:rPr>
          <w:rFonts w:ascii="Microsoft YaHei" w:hAnsi="Microsoft YaHei" w:eastAsia="Microsoft YaHei"/>
          <w:b/>
          <w:color w:val="1F4E79"/>
          <w:sz w:val="21"/>
        </w:rPr>
        <w:t>4. 运行并判读：</w:t>
      </w:r>
      <w:r>
        <w:rPr>
          <w:rFonts w:ascii="Microsoft YaHei" w:hAnsi="Microsoft YaHei" w:eastAsia="Microsoft YaHei"/>
          <w:sz w:val="21"/>
        </w:rPr>
        <w:t>提交后查看 PFDavg、SIL 和分布图。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结果解读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PFDavg 是核心量化结果；SIL 结果用于与目标等级比较。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概率分布图用于观察仿真离散性；应同时记录输入参数和随机仿真规模。</w:t>
      </w:r>
    </w:p>
    <w:p>
      <w:pPr>
        <w:spacing w:after="40"/>
        <w:jc w:val="center"/>
      </w:pPr>
      <w:r>
        <w:rPr>
          <w:rFonts w:ascii="Microsoft YaHei" w:hAnsi="Microsoft YaHei" w:eastAsia="Microsoft YaHei"/>
          <w:sz w:val="21"/>
        </w:rPr>
        <w:drawing>
          <wp:inline xmlns:a="http://schemas.openxmlformats.org/drawingml/2006/main" xmlns:pic="http://schemas.openxmlformats.org/drawingml/2006/picture">
            <wp:extent cx="5580000" cy="3875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i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i/>
          <w:color w:val="595959"/>
          <w:sz w:val="17"/>
        </w:rPr>
        <w:t>图 4-16  在线 SIL 参数界面（实际页面截图）</w:t>
      </w:r>
    </w:p>
    <w:p>
      <w:pPr>
        <w:pStyle w:val="Heading3"/>
      </w:pPr>
      <w:r>
        <w:rPr>
          <w:rFonts w:ascii="Microsoft YaHei" w:hAnsi="Microsoft YaHei" w:eastAsia="Microsoft YaHei"/>
          <w:sz w:val="21"/>
        </w:rPr>
        <w:t>常见问题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M/N 不合法：确保 1 &lt;= M &lt;= N &lt;= 10。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共因失效比例不合理：检查 Total/Partial 参数和合计规则。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任务超时：先降低 nsim/years 验证参数，再逐步提高规模。</w:t>
      </w:r>
    </w:p>
    <w:p>
      <w:pPr>
        <w:pStyle w:val="Heading1"/>
      </w:pPr>
      <w:r>
        <w:rPr>
          <w:rFonts w:ascii="Microsoft YaHei" w:hAnsi="Microsoft YaHei" w:eastAsia="Microsoft YaHei"/>
          <w:sz w:val="21"/>
        </w:rPr>
        <w:t>5 结果查看与保存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结果类型</w:t>
            </w:r>
          </w:p>
        </w:tc>
        <w:tc>
          <w:tcPr>
            <w:tcW w:type="dxa" w:w="691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查看与保存建议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结果图</w:t>
            </w:r>
          </w:p>
        </w:tc>
        <w:tc>
          <w:tcPr>
            <w:tcW w:type="dxa" w:w="691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使用页面中的结果标签切换图片；如需留存，可使用页面提供的下载功能或浏览器截图。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评分与数值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记录任务参数、综合评分、准确率、PFDavg 或 SIL 等关键数值。</w:t>
            </w:r>
          </w:p>
        </w:tc>
      </w:tr>
      <w:t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训练模型</w:t>
            </w:r>
          </w:p>
        </w:tc>
        <w:tc>
          <w:tcPr>
            <w:tcW w:type="dxa" w:w="691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确认页面提示模型生成成功；后续仿真时选择与本次训练对应的模型。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文字方案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复制或截图保存风险趋势、适配方案和 SIS 推荐，并标注任务日期。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sz w:val="21"/>
        </w:rPr>
        <w:t>5.1 结果留存建议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保存结果时同时记录模块名称、输入参数和执行日期。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比较多组结果时使用一致的参数口径，并为每组结果添加清晰名称。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训练模型和仿真结果应成组保存，避免误选其他训练任务生成的模型。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涉及安全结论的结果应由相关专业人员复核后使用。</w:t>
      </w:r>
    </w:p>
    <w:p>
      <w:pPr>
        <w:pStyle w:val="Heading1"/>
      </w:pPr>
      <w:r>
        <w:rPr>
          <w:rFonts w:ascii="Microsoft YaHei" w:hAnsi="Microsoft YaHei" w:eastAsia="Microsoft YaHei"/>
          <w:sz w:val="21"/>
        </w:rPr>
        <w:t>6 常见问题处理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9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普通用户处理方法</w:t>
            </w:r>
          </w:p>
        </w:tc>
      </w:tr>
      <w:tr>
        <w:tc>
          <w:tcPr>
            <w:tcW w:type="dxa" w:w="294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无法打开软件页面</w:t>
            </w:r>
          </w:p>
        </w:tc>
        <w:tc>
          <w:tcPr>
            <w:tcW w:type="dxa" w:w="623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确认一键启动窗口仍在运行，重新输入 http://127.0.0.1:8000；仍无法访问时记录启动窗口提示。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参数无法提交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检查是否存在空值、非数字字符或超出范围的数值，并按页面提示修正。</w:t>
            </w:r>
          </w:p>
        </w:tc>
      </w:tr>
      <w:tr>
        <w:tc>
          <w:tcPr>
            <w:tcW w:type="dxa" w:w="294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数据或模型文件无法读取</w:t>
            </w:r>
          </w:p>
        </w:tc>
        <w:tc>
          <w:tcPr>
            <w:tcW w:type="dxa" w:w="623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重新选择正确文件，确认文件未被移动、改名或由其他程序占用。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任务长时间停留在等待或运行状态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不要重复提交；等待一段时间后记录模块、参数和当前进度。</w:t>
            </w:r>
          </w:p>
        </w:tc>
      </w:tr>
      <w:tr>
        <w:tc>
          <w:tcPr>
            <w:tcW w:type="dxa" w:w="294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任务显示失败</w:t>
            </w:r>
          </w:p>
        </w:tc>
        <w:tc>
          <w:tcPr>
            <w:tcW w:type="dxa" w:w="623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完整记录错误弹窗、任务参数和操作步骤，然后联系技术支持人员。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结果图未显示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确认任务状态为完成，切换结果标签或按 Ctrl+F5 刷新页面后重试。</w:t>
            </w:r>
          </w:p>
        </w:tc>
      </w:tr>
      <w:tr>
        <w:tc>
          <w:tcPr>
            <w:tcW w:type="dxa" w:w="294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页面显示旧内容或布局异常</w:t>
            </w:r>
          </w:p>
        </w:tc>
        <w:tc>
          <w:tcPr>
            <w:tcW w:type="dxa" w:w="623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关闭旧页面，重新打开软件地址，并按 Ctrl+F5 强制刷新。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误关闭或刷新页面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重新进入对应模块；如任务状态无法恢复，记录原参数后重新提交。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2F0D9"/>
            <w:tcBorders>
              <w:top w:val="single" w:sz="5" w:color="5B9BD5"/>
              <w:left w:val="single" w:sz="12" w:color="2F75B5"/>
              <w:bottom w:val="single" w:sz="5" w:color="5B9BD5"/>
              <w:right w:val="single" w:sz="5" w:color="5B9BD5"/>
            </w:tcBorders>
          </w:tcPr>
          <w:p>
            <w:pPr>
              <w:spacing w:after="0"/>
            </w:pPr>
            <w:r/>
            <w:r>
              <w:rPr>
                <w:b/>
                <w:color w:val="1F4E79"/>
                <w:sz w:val="19"/>
              </w:rPr>
              <w:t>联系技术支持：</w:t>
            </w:r>
            <w:r>
              <w:rPr>
                <w:sz w:val="19"/>
              </w:rPr>
              <w:t>提交问题时请提供软件版本、功能模块、输入参数、操作时间和完整错误截图。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sz w:val="21"/>
        </w:rPr>
        <w:t>附录 A 主要模块速查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649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主要输出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异常检测</w:t>
            </w:r>
          </w:p>
        </w:tc>
        <w:tc>
          <w:tcPr>
            <w:tcW w:type="dxa" w:w="464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异常行为检测 → 基于移动目标防御的异常检测</w:t>
            </w:r>
          </w:p>
        </w:tc>
        <w:tc>
          <w:tcPr>
            <w:tcW w:type="dxa" w:w="255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网络拓扑图、异常检测概率图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分类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风险动态分析 → 潜在安全威胁识别与自动分类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混淆矩阵、召回率、准确率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评分</w:t>
            </w:r>
          </w:p>
        </w:tc>
        <w:tc>
          <w:tcPr>
            <w:tcW w:type="dxa" w:w="464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风险动态分析 → 多评估准则融合的风险学习分析</w:t>
            </w:r>
          </w:p>
        </w:tc>
        <w:tc>
          <w:tcPr>
            <w:tcW w:type="dxa" w:w="255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雷达图、综合评分、危险分数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CDQ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风险动态分析 → 风险场景动态匹配与适配方案生成算法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风险趋势、CV/U 向量、适配方案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DNNTrain</w:t>
            </w:r>
          </w:p>
        </w:tc>
        <w:tc>
          <w:tcPr>
            <w:tcW w:type="dxa" w:w="464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风险管控优化决策 → 控制模型训练评估</w:t>
            </w:r>
          </w:p>
        </w:tc>
        <w:tc>
          <w:tcPr>
            <w:tcW w:type="dxa" w:w="255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训练性能、预测误差、模型文件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MPC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风险管控优化决策 → 优化控制仿真验证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轨迹、控制输入、跟踪误差、代价</w:t>
            </w:r>
          </w:p>
        </w:tc>
      </w:tr>
      <w:tr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SDG-HAZOP</w:t>
            </w:r>
          </w:p>
        </w:tc>
        <w:tc>
          <w:tcPr>
            <w:tcW w:type="dxa" w:w="464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SIS自主化检测 → SDG-HAZOP</w:t>
            </w:r>
          </w:p>
        </w:tc>
        <w:tc>
          <w:tcPr>
            <w:tcW w:type="dxa" w:w="2551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风险分析、SIS 推荐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在线 SIL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在线SIL验证 → 基于GSPN-MC模型的动态化SIL验证方法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PFDavg、SIL、概率分布图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sz w:val="21"/>
        </w:rPr>
        <w:t>附录 B 界面截图说明</w:t>
      </w:r>
    </w:p>
    <w:p>
      <w:r>
        <w:rPr>
          <w:rFonts w:ascii="Microsoft YaHei" w:hAnsi="Microsoft YaHei" w:eastAsia="Microsoft YaHei"/>
          <w:sz w:val="21"/>
        </w:rPr>
        <w:t>本手册中的界面截图均来自当前本机 Web 版实际页面，结果图使用项目现有真实样例。界面统一使用“异常检测概率图”这一业务名称。</w:t>
      </w:r>
    </w:p>
    <w:sectPr w:rsidR="00FC693F" w:rsidRPr="0006063C" w:rsidSect="00034616"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内部使用  |  第 </w:t>
    </w:r>
    <w:r>
      <w:fldChar w:fldCharType="begin"/>
      <w:instrText xml:space="preserve">PAGE</w:instrText>
      <w:fldChar w:fldCharType="end"/>
    </w:r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7F7F"/>
        <w:sz w:val="16"/>
      </w:rPr>
      <w:t>流程行业动态风险管控工具集 V1.0  ·  软件使用手册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流程行业动态风险管控工具集 V1.0 软件使用手册</dc:title>
  <dc:subject>BS 本机 Web 版普通用户操作手册</dc:subject>
  <dc:creator>项目组</dc:creator>
  <cp:keywords/>
  <dc:description>构建提交 9bf3f9a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