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</w:pPr>
      <w:r>
        <w:rPr>
          <w:b w:val="0"/>
          <w:i w:val="0"/>
        </w:rPr>
        <w:t>From Legal Choices to Coherent Turns</w:t>
      </w:r>
    </w:p>
    <w:p>
      <w:pPr>
        <w:pStyle w:val="Subtitle"/>
        <w:keepNext/>
        <w:widowControl/>
      </w:pPr>
      <w:r>
        <w:rPr>
          <w:b w:val="0"/>
          <w:i/>
        </w:rPr>
        <w:t>What three Pokemon TCG deck strategies taught us about sequencing, expert feedback and evaluation</w:t>
      </w:r>
    </w:p>
    <w:p>
      <w:pPr>
        <w:pStyle w:val="Heading1"/>
        <w:keepNext/>
        <w:widowControl/>
      </w:pPr>
      <w:r>
        <w:rPr>
          <w:b w:val="0"/>
          <w:i w:val="0"/>
        </w:rPr>
        <w:t>1. Discovering the Problem Across Decks</w:t>
      </w:r>
    </w:p>
    <w:p>
      <w:pPr>
        <w:widowControl/>
      </w:pPr>
      <w:r>
        <w:rPr>
          <w:b w:val="0"/>
          <w:i w:val="0"/>
        </w:rPr>
        <w:t>Why could an agent choose legal actions yet fail to play a useful turn? 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question connects our development of Hydreigon/Mega Gengar, N's Zoroark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the Palafin ex deck. All use deterministic Python policies selecting 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official cabt engine's legal options. Human battle reviews changed 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rules; no neural policy was trained and no language model ran during matches.</w:t>
      </w:r>
    </w:p>
    <w:p>
      <w:pPr>
        <w:widowControl/>
      </w:pPr>
      <w:r>
        <w:rPr>
          <w:b w:val="0"/>
          <w:i w:val="0"/>
        </w:rPr>
        <w:t>Hydreigon/Mega Gengar first exposed the difference between owning cards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having a plan. A Stage 2 in hand made its missing evolution bridge valuable,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but only when its Basic could develop. The same principle changed discard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decisions: an unusable duplicate could be expendable, while the 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Basic-search card with an empty Bench was essential. We replaced unconditional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priorities with hand-and-board dependencies and protected resources needed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 the next action.</w:t>
      </w:r>
    </w:p>
    <w:p>
      <w:pPr>
        <w:widowControl/>
      </w:pPr>
      <w:r>
        <w:rPr>
          <w:b w:val="0"/>
          <w:i w:val="0"/>
        </w:rPr>
        <w:t>N's Zoroark added a second distinction: an attack source was not necessarily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 attacker. Pokemon supplying copied attacks should not automatically receive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 themselves. Separating those roles also required isolating deck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profiles. Otherwise, rules useful in one deck distorted another. Checking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packaged policy, not just local code, became part of verification,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consistent with the deployment-testing emphasis of the ML Test Score.</w:t>
      </w:r>
      <w:hyperlink w:anchor="ref-P12">
        <w:r>
          <w:rPr>
            <w:color w:val="236B65"/>
          </w:rPr>
          <w:t xml:space="preserve">[P12]</w:t>
        </w:r>
      </w:hyperlink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4608"/>
      </w:tblGrid>
      <w:tr>
        <w:trPr>
          <w:cantSplit/>
          <w:tblHeader/>
        </w:trPr>
        <w:tc>
          <w:tcPr>
            <w:tcW w:type="dxa" w:w="2088"/>
            <w:shd w:fill="EAF1F0"/>
          </w:tcPr>
          <w:p>
            <w:pPr>
              <w:spacing w:after="100" w:before="100"/>
            </w:pPr>
            <w:r>
              <w:rPr>
                <w:rFonts w:ascii="Arial" w:hAnsi="Arial"/>
                <w:b/>
                <w:i w:val="0"/>
                <w:sz w:val="18"/>
              </w:rPr>
              <w:t>Deck</w:t>
            </w:r>
          </w:p>
        </w:tc>
        <w:tc>
          <w:tcPr>
            <w:tcW w:type="dxa" w:w="3384"/>
            <w:shd w:fill="EAF1F0"/>
          </w:tcPr>
          <w:p>
            <w:pPr>
              <w:spacing w:after="100" w:before="100"/>
            </w:pPr>
            <w:r>
              <w:rPr>
                <w:rFonts w:ascii="Arial" w:hAnsi="Arial"/>
                <w:b/>
                <w:i w:val="0"/>
                <w:sz w:val="18"/>
              </w:rPr>
              <w:t>Failure exposed</w:t>
            </w:r>
          </w:p>
        </w:tc>
        <w:tc>
          <w:tcPr>
            <w:tcW w:type="dxa" w:w="4608"/>
            <w:shd w:fill="EAF1F0"/>
          </w:tcPr>
          <w:p>
            <w:pPr>
              <w:spacing w:after="100" w:before="100"/>
            </w:pPr>
            <w:r>
              <w:rPr>
                <w:rFonts w:ascii="Arial" w:hAnsi="Arial"/>
                <w:b/>
                <w:i w:val="0"/>
                <w:sz w:val="18"/>
              </w:rPr>
              <w:t>Strategic correction</w:t>
            </w:r>
          </w:p>
        </w:tc>
      </w:tr>
      <w:tr>
        <w:trPr>
          <w:cantSplit/>
        </w:trPr>
        <w:tc>
          <w:tcPr>
            <w:tcW w:type="dxa" w:w="2088"/>
            <w:shd w:fill="FFFFFF"/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i w:val="0"/>
                <w:sz w:val="18"/>
              </w:rPr>
              <w:t>Hydreigon/Mega Gengar</w:t>
            </w:r>
          </w:p>
        </w:tc>
        <w:tc>
          <w:tcPr>
            <w:tcW w:type="dxa" w:w="3384"/>
            <w:shd w:fill="FFFFFF"/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i w:val="0"/>
                <w:sz w:val="18"/>
              </w:rPr>
              <w:t>Missing setup links; wasteful discards</w:t>
            </w:r>
          </w:p>
        </w:tc>
        <w:tc>
          <w:tcPr>
            <w:tcW w:type="dxa" w:w="4608"/>
            <w:shd w:fill="FFFFFF"/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i w:val="0"/>
                <w:sz w:val="18"/>
              </w:rPr>
              <w:t>Value prerequisites and protect usable combinations</w:t>
            </w:r>
          </w:p>
        </w:tc>
      </w:tr>
      <w:tr>
        <w:trPr>
          <w:cantSplit/>
        </w:trPr>
        <w:tc>
          <w:tcPr>
            <w:tcW w:type="dxa" w:w="2088"/>
            <w:shd w:fill="FFFFFF"/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i w:val="0"/>
                <w:sz w:val="18"/>
              </w:rPr>
              <w:t>N's Zoroark</w:t>
            </w:r>
          </w:p>
        </w:tc>
        <w:tc>
          <w:tcPr>
            <w:tcW w:type="dxa" w:w="3384"/>
            <w:shd w:fill="FFFFFF"/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i w:val="0"/>
                <w:sz w:val="18"/>
              </w:rPr>
              <w:t>Support roles confused with attackers</w:t>
            </w:r>
          </w:p>
        </w:tc>
        <w:tc>
          <w:tcPr>
            <w:tcW w:type="dxa" w:w="4608"/>
            <w:shd w:fill="FFFFFF"/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i w:val="0"/>
                <w:sz w:val="18"/>
              </w:rPr>
              <w:t>Allocate resources by deck-specific role</w:t>
            </w:r>
          </w:p>
        </w:tc>
      </w:tr>
      <w:tr>
        <w:trPr>
          <w:cantSplit/>
        </w:trPr>
        <w:tc>
          <w:tcPr>
            <w:tcW w:type="dxa" w:w="2088"/>
            <w:shd w:fill="FFFFFF"/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i w:val="0"/>
                <w:sz w:val="18"/>
              </w:rPr>
              <w:t>Palafin ex deck</w:t>
            </w:r>
          </w:p>
        </w:tc>
        <w:tc>
          <w:tcPr>
            <w:tcW w:type="dxa" w:w="3384"/>
            <w:shd w:fill="FFFFFF"/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i w:val="0"/>
                <w:sz w:val="18"/>
              </w:rPr>
              <w:t>Unproductive switching; preparation bypassed</w:t>
            </w:r>
          </w:p>
        </w:tc>
        <w:tc>
          <w:tcPr>
            <w:tcW w:type="dxa" w:w="4608"/>
            <w:shd w:fill="FFFFFF"/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i w:val="0"/>
                <w:sz w:val="18"/>
              </w:rPr>
              <w:t>Evaluate complete routes and recheck useful actions before committing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  <w:i w:val="0"/>
        </w:rPr>
        <w:t>The Palafin ex deck combined these problems into a sequencing test. Palafin ex offered 250 base damage for one Water. Accessing it 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Zero to Hero required moving normal Palafin from Active to Bench; repeating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Giga Impact then required resetting its attack restriction. Mega Dragonite 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therefore served primarily as switching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 through Sky Transport. Dragonair searched evolutions; Tatsugiri 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 Balloon supplied a return pivot. Dragonite remained a secondary attacker: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its 330-damage attack required Water and two Lightning, then discarded two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Energy. These were different roles and budgets, not interchangeable attackers.</w:t>
      </w:r>
    </w:p>
    <w:p>
      <w:pPr>
        <w:widowControl/>
      </w:pPr>
      <w:r>
        <w:rPr>
          <w:b w:val="0"/>
          <w:i w:val="0"/>
        </w:rPr>
        <w:t>An isolated switch could look unproductive while enabling the whole turn.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Conversely, rewarding movement indiscriminately created unnecessary retreats.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Our hypothesis became: score a route by its useful completion, checking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destination, independent return and retreat limit. This resembles temporal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abstraction in the options framework, although our routes were hand-coded,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 learned options.</w:t>
      </w:r>
      <w:hyperlink w:anchor="ref-P02">
        <w:r>
          <w:rPr>
            <w:color w:val="236B65"/>
          </w:rPr>
          <w:t xml:space="preserve">[P02]</w:t>
        </w:r>
      </w:hyperlink>
      <w:r>
        <w:rPr>
          <w:b w:val="0"/>
          <w:i w:val="0"/>
        </w:rPr>
        <w:t xml:space="preserve"> Switching was an engineering turning point, 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proof of a competitive breakthrough.</w:t>
      </w:r>
    </w:p>
    <w:p>
      <w:pPr>
        <w:widowControl/>
      </w:pPr>
      <w:r>
        <w:rPr>
          <w:b w:val="0"/>
          <w:i w:val="0"/>
        </w:rPr>
        <w:t>To inspect these chains, we built local replays and review of recorded legal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alternatives. An Apple Silicon compatibility issue required running the unchanged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Linux engine through Lima/Rosetta. Separating rules, policies and evaluation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also appears in OpenSpiel's architecture; our simulator still used cabt.</w:t>
      </w:r>
      <w:hyperlink w:anchor="ref-P17">
        <w:r>
          <w:rPr>
            <w:color w:val="236B65"/>
          </w:rPr>
          <w:t xml:space="preserve">[P17]</w:t>
        </w:r>
      </w:hyperlink>
    </w:p>
    <w:p>
      <w:pPr>
        <w:widowControl/>
      </w:pPr>
      <w:r>
        <w:rPr>
          <w:b w:val="0"/>
          <w:i w:val="0"/>
        </w:rPr>
        <w:t>Correctness evidence accumulated: focused rechecks passed 36 Hydreigon/Gengar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17 Zoroark tests. For the Palafin ex deck, earlier focused rechecks passed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 tests and the later full suite passed 215. However, the player reported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1.21 weaker than 1.20 in the earlier development series. In the later series,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imported 1.3 won only one of three games against 1.2, going first in 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three.</w:t>
      </w:r>
      <w:hyperlink w:anchor="ref-L1">
        <w:r>
          <w:rPr>
            <w:color w:val="236B65"/>
          </w:rPr>
          <w:t xml:space="preserve">[L1]</w:t>
        </w:r>
      </w:hyperlink>
      <w:r>
        <w:rPr>
          <w:b w:val="0"/>
          <w:i w:val="0"/>
        </w:rPr>
        <w:t xml:space="preserve"> These results forced the next question: did our corrections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 the intended decisions, and what would establish stronger play?</w:t>
      </w:r>
    </w:p>
    <w:p>
      <w:pPr>
        <w:pStyle w:val="Heading1"/>
        <w:keepNext/>
        <w:widowControl/>
      </w:pPr>
      <w:r>
        <w:rPr>
          <w:b w:val="0"/>
          <w:i w:val="0"/>
        </w:rPr>
        <w:t>2. Testing Decisions Before Claiming Learning</w:t>
      </w:r>
    </w:p>
    <w:p>
      <w:pPr>
        <w:widowControl/>
      </w:pPr>
      <w:r>
        <w:rPr>
          <w:b w:val="0"/>
          <w:i w:val="0"/>
        </w:rPr>
        <w:t>The setup failures suggested testing incomplete openings rather than ideal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combinations. For B Basics in a uniformly shuffled 60-card deck,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24200" cy="251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5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b w:val="0"/>
          <w:i w:val="0"/>
        </w:rPr>
        <w:t>The current Palafin ex deck list has seven Basics, giving a 39.91% initial mulligan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probability. Among accepted opening sevens, only 5.88% naturally contain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Finizen, Dratini and Water together. These exact calculations exclude bonus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draws and searches. They do not measure deck strength, but explain why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recovering partial combinations must be a normal policy behavior.</w:t>
      </w:r>
      <w:hyperlink w:anchor="ref-L2">
        <w:r>
          <w:rPr>
            <w:color w:val="236B65"/>
          </w:rPr>
          <w:t xml:space="preserve">[L2]</w:t>
        </w:r>
      </w:hyperlink>
    </w:p>
    <w:p>
      <w:pPr>
        <w:widowControl/>
      </w:pPr>
      <w:r>
        <w:rPr>
          <w:b w:val="0"/>
          <w:i w:val="0"/>
        </w:rPr>
        <w:t>Even after setup, the board alone was insufficient. Giga Impact's restriction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depends on prior events, while hidden cards remain unknown. POMDP research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provides the conceptual reason to retain history; our event memory was 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 exact belief-state solver.</w:t>
      </w:r>
      <w:hyperlink w:anchor="ref-P01">
        <w:r>
          <w:rPr>
            <w:color w:val="236B65"/>
          </w:rPr>
          <w:t xml:space="preserve">[P01]</w:t>
        </w:r>
      </w:hyperlink>
      <w:r>
        <w:rPr>
          <w:b w:val="0"/>
          <w:i w:val="0"/>
        </w:rPr>
        <w:t xml:space="preserve"> Battle 15 made the consequence visible: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 of 41 observed main turns were pass-only. That symptom motivated inspecting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history, movement routes and preparation decisions, not assuming a timeout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 that every pass was erroneous.</w:t>
      </w:r>
    </w:p>
    <w:p>
      <w:pPr>
        <w:widowControl/>
      </w:pPr>
      <w:r>
        <w:rPr>
          <w:b w:val="0"/>
          <w:i w:val="0"/>
        </w:rPr>
        <w:t>The diagnosis found correct turn flags but a missed numeric attack event,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conflicting movement-target rules and refresh overblocking. A legal pass was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therefore a policy failure in these cases, not a frozen engine.</w:t>
      </w:r>
      <w:hyperlink w:anchor="ref-L1">
        <w:r>
          <w:rPr>
            <w:color w:val="236B65"/>
          </w:rPr>
          <w:t xml:space="preserve">[L1]</w:t>
        </w:r>
      </w:hyperlink>
    </w:p>
    <w:p>
      <w:pPr>
        <w:widowControl/>
      </w:pPr>
      <w:r>
        <w:rPr>
          <w:b w:val="0"/>
          <w:i w:val="0"/>
        </w:rPr>
        <w:t>We then asked whether the intended priorities actually controlled execution.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 recorded heuristic score s and selected action a_t, define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54530" cy="251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25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b w:val="0"/>
          <w:i w:val="0"/>
        </w:rPr>
        <w:t>Across 2,075 eligible historical main-phase windows, 729 selected below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recorded maximum: 35.13%. Eligibility required multiple options, one selected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index, complete finite scores and a matching trace. Pooling versions does 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establish an improvement curve. This is discordance,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 an error rate: deliberate guards can correctly override scores. Scores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 neither win probabilities nor learned Q-values.</w:t>
      </w:r>
    </w:p>
    <w:p>
      <w:pPr>
        <w:widowControl/>
      </w:pPr>
      <w:r>
        <w:rPr>
          <w:b w:val="0"/>
          <w:i w:val="0"/>
        </w:rPr>
        <w:t>Battle 24 decision 131 supplied an actionable example: an attack scored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-3,780, while Poffin scored 32,557.5 and was also the expert's choice.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agent attacked. Another Poffin bonus would not repair a branch 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bypassed its score. Action-masking research supports restricting choices 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legal actions, but legality alone cannot guarantee strategic selection.</w:t>
      </w:r>
      <w:hyperlink w:anchor="ref-P09">
        <w:r>
          <w:rPr>
            <w:color w:val="236B65"/>
          </w:rPr>
          <w:t xml:space="preserve">[P09]</w:t>
        </w:r>
      </w:hyperlink>
      <w:hyperlink w:anchor="ref-L2">
        <w:r>
          <w:rPr>
            <w:color w:val="236B65"/>
          </w:rPr>
          <w:t xml:space="preserve">[L2]</w:t>
        </w:r>
      </w:hyperlink>
    </w:p>
    <w:p>
      <w:pPr>
        <w:widowControl/>
      </w:pPr>
      <w:r>
        <w:rPr>
          <w:b w:val="0"/>
          <w:i w:val="0"/>
        </w:rPr>
        <w:t>To test that execution mechanism, we replayed 29 saved observations 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four archived-policy configurations, three repetitions each: 348 legal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selections. Disabling only the preparation hook in 1.3, which rechecks useful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 before attacking or passing, changed six of 14 reviewed choices.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 1.3 matched all 14 regression targets and 13 original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expert indices; one target intentionally attached Energy before the annotated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Supporter. Without the hook, expert agreement was 8/14. Repetition checked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stability, not additional strategic examples.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remaining 15 inputs came from battle 15's saved end-turn decisions.</w:t>
      </w:r>
      <w:hyperlink w:anchor="ref-L2">
        <w:r>
          <w:rPr>
            <w:color w:val="236B65"/>
          </w:rPr>
          <w:t xml:space="preserve">[L2]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580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aration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rPr>
          <w:b w:val="0"/>
          <w:i/>
        </w:rPr>
        <w:t>Figure 1. Removing the preparation hook changes six reviewed choices.</w:t>
      </w:r>
      <w:r>
        <w:rPr>
          <w:b w:val="0"/>
          <w:i/>
        </w:rPr>
        <w:t xml:space="preserve"> </w:t>
      </w:r>
      <w:r>
        <w:rPr>
          <w:b w:val="0"/>
          <w:i/>
        </w:rPr>
        <w:t>Expert and regression labels differ once. These are selected development</w:t>
      </w:r>
      <w:r>
        <w:rPr>
          <w:b w:val="0"/>
          <w:i/>
        </w:rPr>
        <w:t xml:space="preserve"> </w:t>
      </w:r>
      <w:r>
        <w:rPr>
          <w:b w:val="0"/>
          <w:i/>
        </w:rPr>
        <w:t>cases, not win rates or independent samples from repeated calls.</w:t>
      </w:r>
    </w:p>
    <w:p>
      <w:pPr>
        <w:widowControl/>
      </w:pPr>
      <w:r>
        <w:rPr>
          <w:b w:val="0"/>
          <w:i w:val="0"/>
        </w:rPr>
        <w:t>The ablation establishes an effect on those decisions, not on whole games: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alternative actions change future states, which fixed-input probes did 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simulate. Nor was this machine learning. Expert feedback still produced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programmed rules. Preference-learning research distinguishes such feedback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 a trained preference model.</w:t>
      </w:r>
      <w:hyperlink w:anchor="ref-P23">
        <w:r>
          <w:rPr>
            <w:color w:val="236B65"/>
          </w:rPr>
          <w:t xml:space="preserve">[P23]</w:t>
        </w:r>
      </w:hyperlink>
      <w:r>
        <w:rPr>
          <w:b w:val="0"/>
          <w:i w:val="0"/>
        </w:rPr>
        <w:t xml:space="preserve"> Published demonstrations show what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training might add: human-preference RL reported feedback on under 1% 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environment interactions, and Deep TAMER reported 15 minutes of feedback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 Atari Bowling.</w:t>
      </w:r>
      <w:hyperlink w:anchor="ref-P07">
        <w:r>
          <w:rPr>
            <w:color w:val="236B65"/>
          </w:rPr>
          <w:t xml:space="preserve">[P07]</w:t>
        </w:r>
      </w:hyperlink>
      <w:hyperlink w:anchor="ref-P16">
        <w:r>
          <w:rPr>
            <w:color w:val="236B65"/>
          </w:rPr>
          <w:t xml:space="preserve">[P16]</w:t>
        </w:r>
      </w:hyperlink>
      <w:r>
        <w:rPr>
          <w:b w:val="0"/>
          <w:i w:val="0"/>
        </w:rPr>
        <w:t xml:space="preserve"> Neither supplies a Pokemon training budget.</w:t>
      </w:r>
    </w:p>
    <w:p>
      <w:pPr>
        <w:widowControl/>
      </w:pPr>
      <w:r>
        <w:rPr>
          <w:b w:val="0"/>
          <w:i w:val="0"/>
        </w:rPr>
        <w:t>Competitive evidence remained weaker. The audit validated 5,943 recorded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selections across 40 nonempty episodes, but two of 41 summaries lacked winners;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legal output also cannot exclude silent fallback. The 1/3 result has 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illustrative 95% Wilson interval of 6.1%-79.2%, assuming independent Bernoulli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outcomes and leaving sampling bias unresolved.</w:t>
      </w:r>
      <w:hyperlink w:anchor="ref-L3">
        <w:r>
          <w:rPr>
            <w:color w:val="236B65"/>
          </w:rPr>
          <w:t xml:space="preserve">[L3]</w:t>
        </w:r>
      </w:hyperlink>
      <w:r>
        <w:rPr>
          <w:b w:val="0"/>
          <w:i w:val="0"/>
        </w:rPr>
        <w:t xml:space="preserve"> Agarwal and colleagues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investigated few-run uncertainty using five algorithms, 100 runs and 26 games;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Henderson and colleagues emphasize reproducible evaluation conditions.</w:t>
      </w:r>
      <w:hyperlink w:anchor="ref-P13">
        <w:r>
          <w:rPr>
            <w:color w:val="236B65"/>
          </w:rPr>
          <w:t xml:space="preserve">[P13]</w:t>
        </w:r>
      </w:hyperlink>
      <w:hyperlink w:anchor="ref-P14">
        <w:r>
          <w:rPr>
            <w:color w:val="236B65"/>
          </w:rPr>
          <w:t xml:space="preserve">[P14]</w:t>
        </w:r>
      </w:hyperlink>
      <w:r>
        <w:rPr>
          <w:b w:val="0"/>
          <w:i w:val="0"/>
        </w:rPr>
        <w:t xml:space="preserve"> </w:t>
      </w:r>
      <w:r>
        <w:rPr>
          <w:b w:val="0"/>
          <w:i w:val="0"/>
        </w:rPr>
        <w:t>Our measurements therefore support a specific execution correction, not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general strength claim. The next experiments must close that gap.</w:t>
      </w:r>
    </w:p>
    <w:p>
      <w:pPr>
        <w:pStyle w:val="Heading1"/>
        <w:keepNext/>
        <w:widowControl/>
      </w:pPr>
      <w:r>
        <w:rPr>
          <w:b w:val="0"/>
          <w:i w:val="0"/>
        </w:rPr>
        <w:t>3. Three Experiments to Close the Gap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First, test whether corrected decisions improve complete games.</w:t>
      </w:r>
      <w:r>
        <w:rPr>
          <w:b w:val="0"/>
          <w:i w:val="0"/>
        </w:rPr>
        <w:t xml:space="preserve"> Freeze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policy archives, deck lists, engine versions and seed sets. Compare full 1.3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 the preparation-disabled variant against identical opponent pools,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alternating first player. Retain losses and missing outcomes; report matchup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results, uncertainty, latency and fallback counts. Predefine the sample 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promotion criteria rather than stopping after favorable games. Success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means a reproducible competitive benefit without increased failures, 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another perfect score on the 14 reviewed cases. This directly extends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fixed-state ablation beyond its principal limitation: unobserved consequences.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Second, test whether expert review can train a reusable preference.</w:t>
      </w:r>
      <w:r>
        <w:rPr>
          <w:b w:val="0"/>
          <w:i w:val="0"/>
        </w:rPr>
        <w:t xml:space="preserve"> Collect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alternative legal actions, the expert's goal and multiple acceptable choices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 states the agent actually visits, following DAgger's data-collection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motivation without claiming our current patches implement it.</w:t>
      </w:r>
      <w:hyperlink w:anchor="ref-P05">
        <w:r>
          <w:rPr>
            <w:color w:val="236B65"/>
          </w:rPr>
          <w:t xml:space="preserve">[P05]</w:t>
        </w:r>
      </w:hyperlink>
      <w:r>
        <w:rPr>
          <w:b w:val="0"/>
          <w:i w:val="0"/>
        </w:rPr>
        <w:t xml:space="preserve"> A future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compact ranker could use RankNet-style pairwise loss:</w:t>
      </w:r>
      <w:hyperlink w:anchor="ref-P08">
        <w:r>
          <w:rPr>
            <w:color w:val="236B65"/>
          </w:rPr>
          <w:t xml:space="preserve">[P08]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02330" cy="36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b w:val="0"/>
          <w:i w:val="0"/>
        </w:rPr>
        <w:t>Here a_i^+ is preferred to a_i^- and sigma is logistic. Split by complete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games, retain legality guards and verify the exported checkpoint 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submission entry point. Success requires better held-out preference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agreement and full-game results than the frozen heuristic baseline. 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objective is proposed, not implemented, and does not directly predict wins.</w:t>
      </w:r>
    </w:p>
    <w:p>
      <w:pPr>
        <w:widowControl/>
      </w:pPr>
      <w:r>
        <w:rPr>
          <w:b w:val="0"/>
          <w:i w:val="0"/>
        </w:rPr>
      </w:r>
      <w:r>
        <w:rPr>
          <w:b/>
          <w:i w:val="0"/>
        </w:rPr>
        <w:t>Third, test complete sequences rather than movement frequency.</w:t>
      </w:r>
      <w:r>
        <w:rPr>
          <w:b w:val="0"/>
          <w:i w:val="0"/>
        </w:rPr>
        <w:t xml:space="preserve"> Label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goal, initiation conditions and completion of transformation or attacker-reset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routes. Include unavailable pivots, consumed retreat rights and missing return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options. Compare isolated action scoring with route-aware selection under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same clock budget. Measure completed attack routes, wasted Energy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unproductive loops; hold out deck interactions to test whether the improvement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extends beyond the Palafin ex deck. Success is reaching a useful attacker more reliably,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 switching more often. Together, these experiments turn the original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cross-deck lesson into an evaluation plan: legal actions must advance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coherent strategy, and learning must improve behavior beyond the examples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 supplied its rules.</w:t>
      </w:r>
    </w:p>
    <w:p>
      <w:pPr>
        <w:pStyle w:val="Heading1"/>
        <w:keepNext/>
        <w:widowControl/>
      </w:pPr>
      <w:r>
        <w:rPr>
          <w:b w:val="0"/>
          <w:i w:val="0"/>
        </w:rPr>
        <w:t>Evidence and References</w:t>
      </w:r>
    </w:p>
    <w:p>
      <w:pPr>
        <w:keepLines/>
      </w:pPr>
      <w:bookmarkStart w:id="33" w:name="ref-L1"/>
      <w:bookmarkEnd w:id="33"/>
      <w:r>
        <w:rPr>
          <w:b/>
          <w:sz w:val="18"/>
        </w:rPr>
        <w:t xml:space="preserve">[L1] </w:t>
      </w:r>
      <w:hyperlink r:id="rId14">
        <w:r>
          <w:rPr>
            <w:color w:val="236B65"/>
          </w:rPr>
          <w:t xml:space="preserve">Cross-deck evidence map</w:t>
        </w:r>
      </w:hyperlink>
      <w:r>
        <w:rPr>
          <w:b w:val="0"/>
          <w:i w:val="0"/>
          <w:sz w:val="18"/>
        </w:rPr>
        <w:t xml:space="preserve"> and </w:t>
      </w:r>
      <w:hyperlink r:id="rId15">
        <w:r>
          <w:rPr>
            <w:color w:val="236B65"/>
          </w:rPr>
          <w:t xml:space="preserve">performance audit</w:t>
        </w:r>
      </w:hyperlink>
      <w:r>
        <w:rPr>
          <w:b w:val="0"/>
          <w:i w:val="0"/>
          <w:sz w:val="18"/>
        </w:rPr>
        <w:t>: reported problems, source checks, test scope and recorded outcomes.</w:t>
      </w:r>
    </w:p>
    <w:p>
      <w:pPr>
        <w:keepLines/>
      </w:pPr>
      <w:bookmarkStart w:id="34" w:name="ref-L2"/>
      <w:bookmarkEnd w:id="34"/>
      <w:r>
        <w:rPr>
          <w:b/>
          <w:sz w:val="18"/>
        </w:rPr>
        <w:t xml:space="preserve">[L2] </w:t>
      </w:r>
      <w:hyperlink r:id="rId16">
        <w:r>
          <w:rPr>
            <w:color w:val="236B65"/>
          </w:rPr>
          <w:t xml:space="preserve">Methods and results</w:t>
        </w:r>
      </w:hyperlink>
      <w:r>
        <w:rPr>
          <w:b w:val="0"/>
          <w:i w:val="0"/>
          <w:sz w:val="18"/>
        </w:rPr>
        <w:t xml:space="preserve">, </w:t>
      </w:r>
      <w:hyperlink r:id="rId17">
        <w:r>
          <w:rPr>
            <w:color w:val="236B65"/>
          </w:rPr>
          <w:t xml:space="preserve">fixed-state probes</w:t>
        </w:r>
      </w:hyperlink>
      <w:r>
        <w:rPr>
          <w:b w:val="0"/>
          <w:i w:val="0"/>
          <w:sz w:val="18"/>
        </w:rPr>
        <w:t xml:space="preserve"> and </w:t>
      </w:r>
      <w:hyperlink r:id="rId18">
        <w:r>
          <w:rPr>
            <w:color w:val="236B65"/>
          </w:rPr>
          <w:t xml:space="preserve">supporting data workbook</w:t>
        </w:r>
      </w:hyperlink>
      <w:r>
        <w:rPr>
          <w:b w:val="0"/>
          <w:i w:val="0"/>
          <w:sz w:val="18"/>
        </w:rPr>
        <w:t>.</w:t>
      </w:r>
    </w:p>
    <w:p>
      <w:pPr>
        <w:keepLines/>
      </w:pPr>
      <w:bookmarkStart w:id="35" w:name="ref-L3"/>
      <w:bookmarkEnd w:id="35"/>
      <w:r>
        <w:rPr>
          <w:b/>
          <w:sz w:val="18"/>
        </w:rPr>
        <w:t xml:space="preserve">[L3] </w:t>
      </w:r>
      <w:r>
        <w:rPr>
          <w:b w:val="0"/>
          <w:i w:val="0"/>
          <w:sz w:val="18"/>
        </w:rPr>
        <w:t xml:space="preserve">NIST/SEMATECH, </w:t>
      </w:r>
      <w:hyperlink r:id="rId19">
        <w:r>
          <w:rPr>
            <w:color w:val="236B65"/>
          </w:rPr>
          <w:t xml:space="preserve">confidence intervals for a binomial proportion</w:t>
        </w:r>
      </w:hyperlink>
      <w:r>
        <w:rPr>
          <w:b w:val="0"/>
          <w:i w:val="0"/>
          <w:sz w:val="18"/>
        </w:rPr>
        <w:t>.</w:t>
      </w:r>
    </w:p>
    <w:p>
      <w:pPr>
        <w:keepLines/>
      </w:pPr>
      <w:bookmarkStart w:id="36" w:name="ref-P01"/>
      <w:bookmarkEnd w:id="36"/>
      <w:r>
        <w:rPr>
          <w:b/>
          <w:sz w:val="18"/>
        </w:rPr>
        <w:t xml:space="preserve">[P01] </w:t>
      </w:r>
      <w:r>
        <w:rPr>
          <w:b w:val="0"/>
          <w:i w:val="0"/>
          <w:sz w:val="18"/>
        </w:rPr>
        <w:t xml:space="preserve">Kaelbling, L. P.; Littman, M. L.; Cassandra, A. R. (1998). </w:t>
      </w:r>
      <w:hyperlink r:id="rId20">
        <w:r>
          <w:rPr>
            <w:color w:val="236B65"/>
          </w:rPr>
          <w:t xml:space="preserve">Planning and acting in partially observable stochastic domains</w:t>
        </w:r>
      </w:hyperlink>
      <w:r>
        <w:rPr>
          <w:b w:val="0"/>
          <w:i w:val="0"/>
          <w:sz w:val="18"/>
        </w:rPr>
        <w:t>. Artificial Intelligence 101:99-134.</w:t>
      </w:r>
    </w:p>
    <w:p>
      <w:pPr>
        <w:keepLines/>
      </w:pPr>
      <w:bookmarkStart w:id="37" w:name="ref-P02"/>
      <w:bookmarkEnd w:id="37"/>
      <w:r>
        <w:rPr>
          <w:b/>
          <w:sz w:val="18"/>
        </w:rPr>
        <w:t xml:space="preserve">[P02] </w:t>
      </w:r>
      <w:r>
        <w:rPr>
          <w:b w:val="0"/>
          <w:i w:val="0"/>
          <w:sz w:val="18"/>
        </w:rPr>
        <w:t xml:space="preserve">Sutton, R. S.; Precup, D.; Singh, S. (1999). </w:t>
      </w:r>
      <w:hyperlink r:id="rId21">
        <w:r>
          <w:rPr>
            <w:color w:val="236B65"/>
          </w:rPr>
          <w:t xml:space="preserve">Between MDPs and semi-MDPs: A framework for temporal abstraction in reinforcement learning</w:t>
        </w:r>
      </w:hyperlink>
      <w:r>
        <w:rPr>
          <w:b w:val="0"/>
          <w:i w:val="0"/>
          <w:sz w:val="18"/>
        </w:rPr>
        <w:t>. Artificial Intelligence 112:181-211.</w:t>
      </w:r>
    </w:p>
    <w:p>
      <w:pPr>
        <w:keepLines/>
      </w:pPr>
      <w:bookmarkStart w:id="38" w:name="ref-P05"/>
      <w:bookmarkEnd w:id="38"/>
      <w:r>
        <w:rPr>
          <w:b/>
          <w:sz w:val="18"/>
        </w:rPr>
        <w:t xml:space="preserve">[P05] </w:t>
      </w:r>
      <w:r>
        <w:rPr>
          <w:b w:val="0"/>
          <w:i w:val="0"/>
          <w:sz w:val="18"/>
        </w:rPr>
        <w:t xml:space="preserve">Ross, S.; Gordon, G.; Bagnell, D. (2011). </w:t>
      </w:r>
      <w:hyperlink r:id="rId22">
        <w:r>
          <w:rPr>
            <w:color w:val="236B65"/>
          </w:rPr>
          <w:t xml:space="preserve">A Reduction of Imitation Learning and Structured Prediction to No-Regret Online Learning</w:t>
        </w:r>
      </w:hyperlink>
      <w:r>
        <w:rPr>
          <w:b w:val="0"/>
          <w:i w:val="0"/>
          <w:sz w:val="18"/>
        </w:rPr>
        <w:t>. AISTATS, PMLR 15:627-635.</w:t>
      </w:r>
    </w:p>
    <w:p>
      <w:pPr>
        <w:keepLines/>
      </w:pPr>
      <w:bookmarkStart w:id="39" w:name="ref-P07"/>
      <w:bookmarkEnd w:id="39"/>
      <w:r>
        <w:rPr>
          <w:b/>
          <w:sz w:val="18"/>
        </w:rPr>
        <w:t xml:space="preserve">[P07] </w:t>
      </w:r>
      <w:r>
        <w:rPr>
          <w:b w:val="0"/>
          <w:i w:val="0"/>
          <w:sz w:val="18"/>
        </w:rPr>
        <w:t xml:space="preserve">Christiano, P. F., et al. (2017). </w:t>
      </w:r>
      <w:hyperlink r:id="rId23">
        <w:r>
          <w:rPr>
            <w:color w:val="236B65"/>
          </w:rPr>
          <w:t xml:space="preserve">Deep reinforcement learning from human preferences</w:t>
        </w:r>
      </w:hyperlink>
      <w:r>
        <w:rPr>
          <w:b w:val="0"/>
          <w:i w:val="0"/>
          <w:sz w:val="18"/>
        </w:rPr>
        <w:t>. NeurIPS 30.</w:t>
      </w:r>
    </w:p>
    <w:p>
      <w:pPr>
        <w:keepLines/>
      </w:pPr>
      <w:bookmarkStart w:id="40" w:name="ref-P08"/>
      <w:bookmarkEnd w:id="40"/>
      <w:r>
        <w:rPr>
          <w:b/>
          <w:sz w:val="18"/>
        </w:rPr>
        <w:t xml:space="preserve">[P08] </w:t>
      </w:r>
      <w:r>
        <w:rPr>
          <w:b w:val="0"/>
          <w:i w:val="0"/>
          <w:sz w:val="18"/>
        </w:rPr>
        <w:t xml:space="preserve">Burges, C., et al. (2005). </w:t>
      </w:r>
      <w:hyperlink r:id="rId24">
        <w:r>
          <w:rPr>
            <w:color w:val="236B65"/>
          </w:rPr>
          <w:t xml:space="preserve">Learning to Rank using Gradient Descent</w:t>
        </w:r>
      </w:hyperlink>
      <w:r>
        <w:rPr>
          <w:b w:val="0"/>
          <w:i w:val="0"/>
          <w:sz w:val="18"/>
        </w:rPr>
        <w:t>. ICML 2005; Microsoft Research MSR-TR-2005-06.</w:t>
      </w:r>
    </w:p>
    <w:p>
      <w:pPr>
        <w:keepLines/>
      </w:pPr>
      <w:bookmarkStart w:id="41" w:name="ref-P09"/>
      <w:bookmarkEnd w:id="41"/>
      <w:r>
        <w:rPr>
          <w:b/>
          <w:sz w:val="18"/>
        </w:rPr>
        <w:t xml:space="preserve">[P09] </w:t>
      </w:r>
      <w:r>
        <w:rPr>
          <w:b w:val="0"/>
          <w:i w:val="0"/>
          <w:sz w:val="18"/>
        </w:rPr>
        <w:t xml:space="preserve">Huang, S.; Ontanon, S. (2022). </w:t>
      </w:r>
      <w:hyperlink r:id="rId25">
        <w:r>
          <w:rPr>
            <w:color w:val="236B65"/>
          </w:rPr>
          <w:t xml:space="preserve">A Closer Look at Invalid Action Masking in Policy Gradient Algorithms</w:t>
        </w:r>
      </w:hyperlink>
      <w:r>
        <w:rPr>
          <w:b w:val="0"/>
          <w:i w:val="0"/>
          <w:sz w:val="18"/>
        </w:rPr>
        <w:t>. FLAIRS 35; preprint 2020.</w:t>
      </w:r>
    </w:p>
    <w:p>
      <w:pPr>
        <w:keepLines/>
      </w:pPr>
      <w:bookmarkStart w:id="42" w:name="ref-P12"/>
      <w:bookmarkEnd w:id="42"/>
      <w:r>
        <w:rPr>
          <w:b/>
          <w:sz w:val="18"/>
        </w:rPr>
        <w:t xml:space="preserve">[P12] </w:t>
      </w:r>
      <w:r>
        <w:rPr>
          <w:b w:val="0"/>
          <w:i w:val="0"/>
          <w:sz w:val="18"/>
        </w:rPr>
        <w:t xml:space="preserve">Breck, E.; Cai, S.; Nielsen, E.; Salib, M.; Sculley, D. (2017). </w:t>
      </w:r>
      <w:hyperlink r:id="rId26">
        <w:r>
          <w:rPr>
            <w:color w:val="236B65"/>
          </w:rPr>
          <w:t xml:space="preserve">The ML Test Score: A Rubric for ML Production Readiness and Technical Debt Reduction</w:t>
        </w:r>
      </w:hyperlink>
      <w:r>
        <w:rPr>
          <w:b w:val="0"/>
          <w:i w:val="0"/>
          <w:sz w:val="18"/>
        </w:rPr>
        <w:t>. IEEE Big Data 2017.</w:t>
      </w:r>
    </w:p>
    <w:p>
      <w:pPr>
        <w:keepLines/>
      </w:pPr>
      <w:bookmarkStart w:id="43" w:name="ref-P13"/>
      <w:bookmarkEnd w:id="43"/>
      <w:r>
        <w:rPr>
          <w:b/>
          <w:sz w:val="18"/>
        </w:rPr>
        <w:t xml:space="preserve">[P13] </w:t>
      </w:r>
      <w:r>
        <w:rPr>
          <w:b w:val="0"/>
          <w:i w:val="0"/>
          <w:sz w:val="18"/>
        </w:rPr>
        <w:t xml:space="preserve">Agarwal, R.; Schwarzer, M.; Castro, P. S.; Courville, A.; Bellemare, M. G. (2021). </w:t>
      </w:r>
      <w:hyperlink r:id="rId27">
        <w:r>
          <w:rPr>
            <w:color w:val="236B65"/>
          </w:rPr>
          <w:t xml:space="preserve">Deep Reinforcement Learning at the Edge of the Statistical Precipice</w:t>
        </w:r>
      </w:hyperlink>
      <w:r>
        <w:rPr>
          <w:b w:val="0"/>
          <w:i w:val="0"/>
          <w:sz w:val="18"/>
        </w:rPr>
        <w:t>. NeurIPS 34.</w:t>
      </w:r>
    </w:p>
    <w:p>
      <w:pPr>
        <w:keepLines/>
      </w:pPr>
      <w:bookmarkStart w:id="44" w:name="ref-P14"/>
      <w:bookmarkEnd w:id="44"/>
      <w:r>
        <w:rPr>
          <w:b/>
          <w:sz w:val="18"/>
        </w:rPr>
        <w:t xml:space="preserve">[P14] </w:t>
      </w:r>
      <w:r>
        <w:rPr>
          <w:b w:val="0"/>
          <w:i w:val="0"/>
          <w:sz w:val="18"/>
        </w:rPr>
        <w:t xml:space="preserve">Henderson, P., et al. (2018). </w:t>
      </w:r>
      <w:hyperlink r:id="rId28">
        <w:r>
          <w:rPr>
            <w:color w:val="236B65"/>
          </w:rPr>
          <w:t xml:space="preserve">Deep Reinforcement Learning That Matters</w:t>
        </w:r>
      </w:hyperlink>
      <w:r>
        <w:rPr>
          <w:b w:val="0"/>
          <w:i w:val="0"/>
          <w:sz w:val="18"/>
        </w:rPr>
        <w:t>. AAAI 32.</w:t>
      </w:r>
    </w:p>
    <w:p>
      <w:pPr>
        <w:keepLines/>
      </w:pPr>
      <w:bookmarkStart w:id="45" w:name="ref-P16"/>
      <w:bookmarkEnd w:id="45"/>
      <w:r>
        <w:rPr>
          <w:b/>
          <w:sz w:val="18"/>
        </w:rPr>
        <w:t xml:space="preserve">[P16] </w:t>
      </w:r>
      <w:r>
        <w:rPr>
          <w:b w:val="0"/>
          <w:i w:val="0"/>
          <w:sz w:val="18"/>
        </w:rPr>
        <w:t xml:space="preserve">Warnell, G.; Waytowich, N.; Lawhern, V.; Stone, P. (2018). </w:t>
      </w:r>
      <w:hyperlink r:id="rId29">
        <w:r>
          <w:rPr>
            <w:color w:val="236B65"/>
          </w:rPr>
          <w:t xml:space="preserve">Deep TAMER: Interactive agent shaping in high-dimensional state spaces</w:t>
        </w:r>
      </w:hyperlink>
      <w:r>
        <w:rPr>
          <w:b w:val="0"/>
          <w:i w:val="0"/>
          <w:sz w:val="18"/>
        </w:rPr>
        <w:t>. AAAI 32.</w:t>
      </w:r>
    </w:p>
    <w:p>
      <w:pPr>
        <w:keepLines/>
      </w:pPr>
      <w:bookmarkStart w:id="46" w:name="ref-P17"/>
      <w:bookmarkEnd w:id="46"/>
      <w:r>
        <w:rPr>
          <w:b/>
          <w:sz w:val="18"/>
        </w:rPr>
        <w:t xml:space="preserve">[P17] </w:t>
      </w:r>
      <w:r>
        <w:rPr>
          <w:b w:val="0"/>
          <w:i w:val="0"/>
          <w:sz w:val="18"/>
        </w:rPr>
        <w:t xml:space="preserve">Lanctot, M., et al. (2019). </w:t>
      </w:r>
      <w:hyperlink r:id="rId30">
        <w:r>
          <w:rPr>
            <w:color w:val="236B65"/>
          </w:rPr>
          <w:t xml:space="preserve">OpenSpiel: A Framework for Reinforcement Learning in Games</w:t>
        </w:r>
      </w:hyperlink>
      <w:r>
        <w:rPr>
          <w:b w:val="0"/>
          <w:i w:val="0"/>
          <w:sz w:val="18"/>
        </w:rPr>
        <w:t>. Research framework paper, arXiv:1908.09453.</w:t>
      </w:r>
    </w:p>
    <w:p>
      <w:pPr>
        <w:keepLines/>
      </w:pPr>
      <w:bookmarkStart w:id="47" w:name="ref-P23"/>
      <w:bookmarkEnd w:id="47"/>
      <w:r>
        <w:rPr>
          <w:b/>
          <w:sz w:val="18"/>
        </w:rPr>
        <w:t xml:space="preserve">[P23] </w:t>
      </w:r>
      <w:r>
        <w:rPr>
          <w:b w:val="0"/>
          <w:i w:val="0"/>
          <w:sz w:val="18"/>
        </w:rPr>
        <w:t xml:space="preserve">Wirth, C.; Akrour, R.; Neumann, G.; Furnkranz, J. (2017). </w:t>
      </w:r>
      <w:hyperlink r:id="rId31">
        <w:r>
          <w:rPr>
            <w:color w:val="236B65"/>
          </w:rPr>
          <w:t xml:space="preserve">A Survey of Preference-Based Reinforcement Learning Methods</w:t>
        </w:r>
      </w:hyperlink>
      <w:r>
        <w:rPr>
          <w:b w:val="0"/>
          <w:i w:val="0"/>
          <w:sz w:val="18"/>
        </w:rPr>
        <w:t>. JMLR 18(136):1-46.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Cross-deck strategy | v8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6B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43A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243A3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243A3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CROSS_DECK_EVIDENCE.md" TargetMode="External"/><Relationship Id="rId15" Type="http://schemas.openxmlformats.org/officeDocument/2006/relationships/hyperlink" Target="DATA_AUDIT.md" TargetMode="External"/><Relationship Id="rId16" Type="http://schemas.openxmlformats.org/officeDocument/2006/relationships/hyperlink" Target="SCIENTIFIC_METHODS_AND_RESULTS.md" TargetMode="External"/><Relationship Id="rId17" Type="http://schemas.openxmlformats.org/officeDocument/2006/relationships/hyperlink" Target="scientific_data/archive_probes.json" TargetMode="External"/><Relationship Id="rId18" Type="http://schemas.openxmlformats.org/officeDocument/2006/relationships/hyperlink" Target="scientific_data/scientific_evidence.xlsx" TargetMode="External"/><Relationship Id="rId19" Type="http://schemas.openxmlformats.org/officeDocument/2006/relationships/hyperlink" Target="https://www.itl.nist.gov/div898/handbook/prc/section2/prc241.htm" TargetMode="External"/><Relationship Id="rId20" Type="http://schemas.openxmlformats.org/officeDocument/2006/relationships/hyperlink" Target="https://cs.brown.edu/courses/csci2951-k/papers/kaelbling98.pdf" TargetMode="External"/><Relationship Id="rId21" Type="http://schemas.openxmlformats.org/officeDocument/2006/relationships/hyperlink" Target="https://www.sciencedirect.com/science/article/pii/S0004370299000521" TargetMode="External"/><Relationship Id="rId22" Type="http://schemas.openxmlformats.org/officeDocument/2006/relationships/hyperlink" Target="https://proceedings.mlr.press/v15/ross11a.html" TargetMode="External"/><Relationship Id="rId23" Type="http://schemas.openxmlformats.org/officeDocument/2006/relationships/hyperlink" Target="https://arxiv.org/abs/1706.03741" TargetMode="External"/><Relationship Id="rId24" Type="http://schemas.openxmlformats.org/officeDocument/2006/relationships/hyperlink" Target="https://www.microsoft.com/en-us/research/publication/learning-to-rank-using-gradient-descent/" TargetMode="External"/><Relationship Id="rId25" Type="http://schemas.openxmlformats.org/officeDocument/2006/relationships/hyperlink" Target="https://arxiv.org/abs/2006.14171" TargetMode="External"/><Relationship Id="rId26" Type="http://schemas.openxmlformats.org/officeDocument/2006/relationships/hyperlink" Target="https://research.google/pubs/the-ml-test-score-a-rubric-for-ml-production-readiness-and-technical-debt-reduction/" TargetMode="External"/><Relationship Id="rId27" Type="http://schemas.openxmlformats.org/officeDocument/2006/relationships/hyperlink" Target="https://arxiv.org/abs/2108.13264" TargetMode="External"/><Relationship Id="rId28" Type="http://schemas.openxmlformats.org/officeDocument/2006/relationships/hyperlink" Target="https://ojs.aaai.org/index.php/AAAI/article/view/11694" TargetMode="External"/><Relationship Id="rId29" Type="http://schemas.openxmlformats.org/officeDocument/2006/relationships/hyperlink" Target="https://www.cs.utexas.edu/~pstone/Papers/bib2html/b2hd-AAAI18-Warnell.html" TargetMode="External"/><Relationship Id="rId30" Type="http://schemas.openxmlformats.org/officeDocument/2006/relationships/hyperlink" Target="https://arxiv.org/abs/1908.09453" TargetMode="External"/><Relationship Id="rId31" Type="http://schemas.openxmlformats.org/officeDocument/2006/relationships/hyperlink" Target="https://jmlr.org/papers/v18/16-63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Legal Choices to Coherent Turns</dc:title>
  <dc:subject>Cross-deck strategy write-up, version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