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/*1.</w:t>
      </w:r>
      <w:r>
        <w:rPr>
          <w:rFonts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写</w:t>
      </w:r>
      <w:r>
        <w:rPr>
          <w:rFonts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出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计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1+2+3+4...+100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的和的代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int sum = 0;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1;i &lt; 101;i++){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sum += i;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System.out.println(sum);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/*2.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写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出在控制台打印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99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乘法表的代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9 ; i &gt; 0 ; i--){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for(int j = 9 ; j &gt; 0 ; j--){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if(j &gt; i){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continue;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System.out.print(i + " * " + j +" = " + i*j +"    ");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System.out.println();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/*3.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写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出打印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1-100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所有整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中的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单数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的代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public class text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public static void main(String[] args)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for(int i = 1 ; i &lt; 101 ; i++){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if(i % 2 !=0){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System.out.println(i);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/*4.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打印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101-200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只有的所有素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，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并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求出素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color w:val="808080"/>
          <w:sz w:val="19"/>
          <w:szCs w:val="19"/>
          <w:shd w:val="clear" w:fill="2B2B2B"/>
        </w:rPr>
        <w:t>的和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j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b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b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(b ==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sum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2020-03-02T12:45:59Z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