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4836" w:type="dxa"/>
        <w:tblInd w:w="0" w:type="dxa"/>
        <w:tblLayout w:type="autofit"/>
        <w:tblCellMar>
          <w:top w:w="0" w:type="dxa"/>
          <w:left w:w="108" w:type="dxa"/>
          <w:bottom w:w="0" w:type="dxa"/>
          <w:right w:w="108" w:type="dxa"/>
        </w:tblCellMar>
      </w:tblPr>
      <w:tblGrid>
        <w:gridCol w:w="4836"/>
      </w:tblGrid>
      <w:tr>
        <w:tblPrEx>
          <w:tblCellMar>
            <w:top w:w="0" w:type="dxa"/>
            <w:left w:w="108" w:type="dxa"/>
            <w:bottom w:w="0" w:type="dxa"/>
            <w:right w:w="108" w:type="dxa"/>
          </w:tblCellMar>
        </w:tblPrEx>
        <w:trPr>
          <w:trHeight w:val="610" w:hRule="atLeast"/>
        </w:trPr>
        <w:tc>
          <w:tcPr>
            <w:tcW w:w="4836" w:type="dxa"/>
            <w:tcBorders>
              <w:top w:val="nil"/>
              <w:left w:val="nil"/>
              <w:bottom w:val="nil"/>
              <w:right w:val="nil"/>
            </w:tcBorders>
            <w:shd w:val="clear" w:color="auto" w:fill="auto"/>
            <w:noWrap/>
          </w:tcPr>
          <w:p>
            <w:pPr>
              <w:spacing w:after="0" w:line="240" w:lineRule="auto"/>
              <w:rPr>
                <w:rFonts w:ascii="Times New Roman" w:hAnsi="Times New Roman" w:eastAsia="Times New Roman" w:cs="Times New Roman"/>
                <w:sz w:val="48"/>
                <w:szCs w:val="48"/>
              </w:rPr>
            </w:pPr>
            <w:r>
              <w:rPr>
                <w:rFonts w:ascii="Times New Roman" w:hAnsi="Times New Roman" w:eastAsia="Times New Roman" w:cs="Times New Roman"/>
                <w:sz w:val="48"/>
                <w:szCs w:val="48"/>
              </w:rPr>
              <w:t>Ginnie Mae 2019-123</w:t>
            </w:r>
          </w:p>
        </w:tc>
      </w:tr>
      <w:tr>
        <w:tblPrEx>
          <w:tblCellMar>
            <w:top w:w="0" w:type="dxa"/>
            <w:left w:w="108" w:type="dxa"/>
            <w:bottom w:w="0" w:type="dxa"/>
            <w:right w:w="108" w:type="dxa"/>
          </w:tblCellMar>
        </w:tblPrEx>
        <w:trPr>
          <w:trHeight w:val="400" w:hRule="atLeast"/>
        </w:trPr>
        <w:tc>
          <w:tcPr>
            <w:tcW w:w="483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Par Amount Issued: $1,340,950,296</w:t>
            </w:r>
          </w:p>
        </w:tc>
      </w:tr>
      <w:tr>
        <w:tblPrEx>
          <w:tblCellMar>
            <w:top w:w="0" w:type="dxa"/>
            <w:left w:w="108" w:type="dxa"/>
            <w:bottom w:w="0" w:type="dxa"/>
            <w:right w:w="108" w:type="dxa"/>
          </w:tblCellMar>
        </w:tblPrEx>
        <w:trPr>
          <w:trHeight w:val="310" w:hRule="atLeast"/>
        </w:trPr>
        <w:tc>
          <w:tcPr>
            <w:tcW w:w="483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Sponsor: Citigroup</w:t>
            </w:r>
          </w:p>
        </w:tc>
      </w:tr>
      <w:tr>
        <w:tblPrEx>
          <w:tblCellMar>
            <w:top w:w="0" w:type="dxa"/>
            <w:left w:w="108" w:type="dxa"/>
            <w:bottom w:w="0" w:type="dxa"/>
            <w:right w:w="108" w:type="dxa"/>
          </w:tblCellMar>
        </w:tblPrEx>
        <w:trPr>
          <w:trHeight w:val="310" w:hRule="atLeast"/>
        </w:trPr>
        <w:tc>
          <w:tcPr>
            <w:tcW w:w="483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Paul McDermott 716-730-7586</w:t>
            </w:r>
          </w:p>
        </w:tc>
      </w:tr>
      <w:tr>
        <w:tblPrEx>
          <w:tblCellMar>
            <w:top w:w="0" w:type="dxa"/>
            <w:left w:w="108" w:type="dxa"/>
            <w:bottom w:w="0" w:type="dxa"/>
            <w:right w:w="108" w:type="dxa"/>
          </w:tblCellMar>
        </w:tblPrEx>
        <w:trPr>
          <w:trHeight w:val="350" w:hRule="atLeast"/>
        </w:trPr>
        <w:tc>
          <w:tcPr>
            <w:tcW w:w="4836" w:type="dxa"/>
            <w:tcBorders>
              <w:top w:val="nil"/>
              <w:left w:val="nil"/>
              <w:right w:val="nil"/>
            </w:tcBorders>
            <w:shd w:val="clear" w:color="auto" w:fill="auto"/>
            <w:noWrap/>
            <w:vAlign w:val="bottom"/>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Closing Date: October 30, 2019</w:t>
            </w:r>
          </w:p>
        </w:tc>
      </w:tr>
      <w:tr>
        <w:tblPrEx>
          <w:tblCellMar>
            <w:top w:w="0" w:type="dxa"/>
            <w:left w:w="108" w:type="dxa"/>
            <w:bottom w:w="0" w:type="dxa"/>
            <w:right w:w="108" w:type="dxa"/>
          </w:tblCellMar>
        </w:tblPrEx>
        <w:trPr>
          <w:trHeight w:val="350" w:hRule="atLeast"/>
        </w:trPr>
        <w:tc>
          <w:tcPr>
            <w:tcW w:w="4836" w:type="dxa"/>
            <w:tcBorders>
              <w:top w:val="nil"/>
              <w:left w:val="nil"/>
              <w:right w:val="nil"/>
            </w:tcBorders>
            <w:shd w:val="clear" w:color="auto" w:fill="auto"/>
            <w:noWrap/>
            <w:vAlign w:val="bottom"/>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First Payment Date: November 2019</w:t>
            </w:r>
          </w:p>
        </w:tc>
      </w:tr>
    </w:tbl>
    <w:p>
      <w:pPr>
        <w:tabs>
          <w:tab w:val="left" w:pos="2541"/>
          <w:tab w:val="left" w:pos="4403"/>
          <w:tab w:val="left" w:pos="5654"/>
          <w:tab w:val="left" w:pos="7254"/>
          <w:tab w:val="left" w:pos="8577"/>
          <w:tab w:val="left" w:pos="9901"/>
          <w:tab w:val="left" w:pos="12010"/>
        </w:tabs>
        <w:autoSpaceDE w:val="0"/>
        <w:autoSpaceDN w:val="0"/>
        <w:adjustRightInd w:val="0"/>
        <w:spacing w:after="0" w:line="240" w:lineRule="auto"/>
        <w:ind w:left="78"/>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tbl>
      <w:tblPr>
        <w:tblStyle w:val="3"/>
        <w:tblW w:w="11645" w:type="dxa"/>
        <w:tblInd w:w="-38" w:type="dxa"/>
        <w:tblLayout w:type="fixed"/>
        <w:tblCellMar>
          <w:top w:w="0" w:type="dxa"/>
          <w:left w:w="108" w:type="dxa"/>
          <w:bottom w:w="0" w:type="dxa"/>
          <w:right w:w="108" w:type="dxa"/>
        </w:tblCellMar>
      </w:tblPr>
      <w:tblGrid>
        <w:gridCol w:w="2160"/>
        <w:gridCol w:w="1882"/>
        <w:gridCol w:w="1123"/>
        <w:gridCol w:w="1658"/>
        <w:gridCol w:w="1420"/>
        <w:gridCol w:w="1185"/>
        <w:gridCol w:w="1857"/>
        <w:gridCol w:w="360"/>
      </w:tblGrid>
      <w:tr>
        <w:tblPrEx>
          <w:tblCellMar>
            <w:top w:w="0" w:type="dxa"/>
            <w:left w:w="108" w:type="dxa"/>
            <w:bottom w:w="0" w:type="dxa"/>
            <w:right w:w="108" w:type="dxa"/>
          </w:tblCellMar>
        </w:tblPrEx>
        <w:trPr>
          <w:trHeight w:val="679"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Class of REMIC Securities</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Original Principal Balance(2)</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Interest Rate</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Principal Type(3)</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Interest Type(3)</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CUSIP Number</w:t>
            </w: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Final Distribution Date(4)</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300%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50,000,000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2</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10,000,000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1,428,571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LY</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12,000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ZL</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2,662,000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3</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180%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AF</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25,116,965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AS</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25,116,965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PB</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75,000,000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PY</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350,897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PZ</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16,066,779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nil"/>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4</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AI</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5,694,454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January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5,196,435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September 2040</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80,934,647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January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5</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330%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37,641,421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CZ(1)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8,394,570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FC</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50,188,560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184,046,057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LZ(1)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66,069,778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PL</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78,839,890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50,188,560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SL(1)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184,046,057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ZA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36,992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6</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230%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53,672,120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DZ</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6,746,113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ZD</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364,296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7</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15% CPR</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13,574,396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August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KI(1)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15,021,085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WAC/IO/DLY</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February 2048</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NI(1)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7,406,634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August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WI(1)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14,182,750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WAC/IO/DLY</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p>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8</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p>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p>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67,286,255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SEQ</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28,836,966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SEQ</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9</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230%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46,120,647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December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ZP</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8,192,833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December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10</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KO(1)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September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SQ(1)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4,478,027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11</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BA(1)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50,015,351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BY(1)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3,449,135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BZ</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8,000,000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12</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KS</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2,335,180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KT</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4,203,327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2047</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13</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230%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BF</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48,055,629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CS(1)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22,050,963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MA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31,506,000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MZ</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4,535,723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SB(1)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26,004,666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14</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FM</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21,779,361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15</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250%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AB(1)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3,909,667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FJ(1)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19,642,333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FN(1)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33,200,000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KA(1)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35,375,000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KZ(1)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7,473,000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SJ(1)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19,642,333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SN(1)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33,200,000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6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16</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350%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AC(1)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2,947,000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AZ(1)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5,919,000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SUP</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FIX/Z</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DB(1)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26,607,000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DF(1)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14,777,000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DS(1)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14,777,000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NTL(PAC/AD)</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25,000,000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FB(1)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50,250,000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25,250,000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17</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20,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HA</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23,281,262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2.375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HI</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8,390,301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IH</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6,332,606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Security Group 18</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November 16, 2019</w:t>
            </w: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b/>
                <w:bCs/>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b/>
                <w:bCs/>
                <w:sz w:val="20"/>
                <w:szCs w:val="20"/>
              </w:rPr>
            </w:pPr>
            <w:r>
              <w:rPr>
                <w:rFonts w:ascii="Times New Roman" w:hAnsi="Times New Roman" w:cs="Times New Roman"/>
                <w:b/>
                <w:bCs/>
                <w:sz w:val="20"/>
                <w:szCs w:val="20"/>
              </w:rPr>
              <w:t>200% PSA</w:t>
            </w:r>
          </w:p>
        </w:tc>
        <w:tc>
          <w:tcPr>
            <w:tcW w:w="360"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G(1)</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44,109,542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Residuals</w:t>
            </w:r>
          </w:p>
        </w:tc>
        <w:tc>
          <w:tcPr>
            <w:tcW w:w="1882"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123"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658"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420"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185" w:type="dxa"/>
            <w:tcBorders>
              <w:top w:val="single" w:color="auto" w:sz="6" w:space="0"/>
              <w:left w:val="nil"/>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p>
        </w:tc>
        <w:tc>
          <w:tcPr>
            <w:tcW w:w="360"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R8</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NPR</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NPR</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r>
        <w:tblPrEx>
          <w:tblCellMar>
            <w:top w:w="0" w:type="dxa"/>
            <w:left w:w="108" w:type="dxa"/>
            <w:bottom w:w="0" w:type="dxa"/>
            <w:right w:w="108" w:type="dxa"/>
          </w:tblCellMar>
        </w:tblPrEx>
        <w:trPr>
          <w:trHeight w:val="257" w:hRule="atLeast"/>
        </w:trPr>
        <w:tc>
          <w:tcPr>
            <w:tcW w:w="216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RR</w:t>
            </w:r>
          </w:p>
        </w:tc>
        <w:tc>
          <w:tcPr>
            <w:tcW w:w="18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   </w:t>
            </w:r>
          </w:p>
        </w:tc>
        <w:tc>
          <w:tcPr>
            <w:tcW w:w="112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65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NPR</w:t>
            </w:r>
          </w:p>
        </w:tc>
        <w:tc>
          <w:tcPr>
            <w:tcW w:w="142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NPR</w:t>
            </w:r>
          </w:p>
        </w:tc>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85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2049</w:t>
            </w:r>
          </w:p>
        </w:tc>
        <w:tc>
          <w:tcPr>
            <w:tcW w:w="360"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bl>
    <w:p>
      <w:pPr>
        <w:rPr>
          <w:rFonts w:ascii="Times New Roman" w:hAnsi="Times New Roman" w:cs="Times New Roman"/>
        </w:rPr>
      </w:pP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32"/>
          <w:szCs w:val="32"/>
        </w:rPr>
        <w:t>Ginnie Mae 2019-123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b/>
          <w:bCs/>
          <w:sz w:val="20"/>
          <w:szCs w:val="20"/>
        </w:rPr>
        <w:t xml:space="preserve">Sponsor: </w:t>
      </w:r>
      <w:r>
        <w:rPr>
          <w:rFonts w:ascii="Times New Roman" w:hAnsi="Times New Roman" w:cs="Times New Roman"/>
          <w:sz w:val="20"/>
          <w:szCs w:val="20"/>
        </w:rPr>
        <w:t>Citigroup</w:t>
      </w:r>
      <w:r>
        <w:rPr>
          <w:rFonts w:ascii="Times New Roman" w:hAnsi="Times New Roman" w:cs="Times New Roman"/>
          <w:sz w:val="20"/>
          <w:szCs w:val="20"/>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b/>
          <w:bCs/>
          <w:sz w:val="20"/>
          <w:szCs w:val="20"/>
        </w:rPr>
        <w:t xml:space="preserve">Closing Date: </w:t>
      </w:r>
      <w:r>
        <w:rPr>
          <w:rFonts w:ascii="Times New Roman" w:hAnsi="Times New Roman" w:cs="Times New Roman"/>
          <w:sz w:val="20"/>
          <w:szCs w:val="20"/>
        </w:rPr>
        <w:t>October 30, 2019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b/>
          <w:bCs/>
        </w:rPr>
        <w:tab/>
      </w:r>
      <w:r>
        <w:rPr>
          <w:rFonts w:ascii="Times New Roman" w:hAnsi="Times New Roman" w:cs="Times New Roman"/>
        </w:rPr>
        <w:tab/>
      </w:r>
      <w:r>
        <w:rPr>
          <w:rFonts w:ascii="Times New Roman" w:hAnsi="Times New Roman" w:cs="Times New Roman"/>
          <w:sz w:val="20"/>
          <w:szCs w:val="20"/>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For the Group 1, 2, 3, 4, 5, 6, 7, 8, 9, 10, 11, 12, 13, 14, 15, 16 and 17 Securities, the 20th day of each month or if the 20th day is not a Business Day, the first Business Day thereafter, commencing in November 2019.  For the Group 18 Securities, the 16th day of each month or if the 16th day is not a Business Day, the first Business Day thereafter, commencing in November 2019.</w:t>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8"/>
          <w:szCs w:val="28"/>
        </w:rPr>
        <w:t>Trust Assets: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tbl>
      <w:tblPr>
        <w:tblStyle w:val="3"/>
        <w:tblW w:w="7720" w:type="dxa"/>
        <w:tblInd w:w="0" w:type="dxa"/>
        <w:tblLayout w:type="autofit"/>
        <w:tblCellMar>
          <w:top w:w="0" w:type="dxa"/>
          <w:left w:w="108" w:type="dxa"/>
          <w:bottom w:w="0" w:type="dxa"/>
          <w:right w:w="108" w:type="dxa"/>
        </w:tblCellMar>
      </w:tblPr>
      <w:tblGrid>
        <w:gridCol w:w="1295"/>
        <w:gridCol w:w="3717"/>
        <w:gridCol w:w="266"/>
        <w:gridCol w:w="266"/>
        <w:gridCol w:w="1133"/>
        <w:gridCol w:w="1043"/>
      </w:tblGrid>
      <w:tr>
        <w:tblPrEx>
          <w:tblCellMar>
            <w:top w:w="0" w:type="dxa"/>
            <w:left w:w="108" w:type="dxa"/>
            <w:bottom w:w="0" w:type="dxa"/>
            <w:right w:w="108" w:type="dxa"/>
          </w:tblCellMar>
        </w:tblPrEx>
        <w:trPr>
          <w:trHeight w:val="1300" w:hRule="atLeast"/>
        </w:trPr>
        <w:tc>
          <w:tcPr>
            <w:tcW w:w="129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bookmarkStart w:id="0" w:name="RANGE!B11"/>
            <w:r>
              <w:rPr>
                <w:rFonts w:ascii="Times New Roman" w:hAnsi="Times New Roman" w:eastAsia="Times New Roman" w:cs="Times New Roman"/>
                <w:b/>
                <w:bCs/>
                <w:sz w:val="20"/>
                <w:szCs w:val="20"/>
              </w:rPr>
              <w:t>Trust Asset Group or Subgroup(2)</w:t>
            </w:r>
            <w:bookmarkEnd w:id="0"/>
          </w:p>
        </w:tc>
        <w:tc>
          <w:tcPr>
            <w:tcW w:w="4249" w:type="dxa"/>
            <w:gridSpan w:val="3"/>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Trust Asset Type</w:t>
            </w:r>
          </w:p>
        </w:tc>
        <w:tc>
          <w:tcPr>
            <w:tcW w:w="1133" w:type="dxa"/>
            <w:tcBorders>
              <w:top w:val="single" w:color="auto" w:sz="4" w:space="0"/>
              <w:left w:val="nil"/>
              <w:bottom w:val="nil"/>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Certificate Rate</w:t>
            </w:r>
          </w:p>
        </w:tc>
        <w:tc>
          <w:tcPr>
            <w:tcW w:w="1043" w:type="dxa"/>
            <w:tcBorders>
              <w:top w:val="single" w:color="auto" w:sz="4" w:space="0"/>
              <w:left w:val="nil"/>
              <w:bottom w:val="nil"/>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Original Term To Maturity</w:t>
            </w:r>
            <w:r>
              <w:rPr>
                <w:rFonts w:ascii="Times New Roman" w:hAnsi="Times New Roman" w:eastAsia="Times New Roman" w:cs="Times New Roman"/>
                <w:b/>
                <w:bCs/>
                <w:sz w:val="20"/>
                <w:szCs w:val="20"/>
              </w:rPr>
              <w:br w:type="textWrapping"/>
            </w:r>
            <w:r>
              <w:rPr>
                <w:rFonts w:ascii="Times New Roman" w:hAnsi="Times New Roman" w:eastAsia="Times New Roman" w:cs="Times New Roman"/>
                <w:b/>
                <w:bCs/>
                <w:sz w:val="20"/>
                <w:szCs w:val="20"/>
              </w:rPr>
              <w:t>(in years)</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4.000%</w:t>
            </w:r>
          </w:p>
        </w:tc>
        <w:tc>
          <w:tcPr>
            <w:tcW w:w="1043"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4A</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4B</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5A</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5B</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7A</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7B</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7C</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7D</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10A</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10B</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13A</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13B</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14</w:t>
            </w:r>
          </w:p>
        </w:tc>
        <w:tc>
          <w:tcPr>
            <w:tcW w:w="3983" w:type="dxa"/>
            <w:gridSpan w:val="2"/>
            <w:tcBorders>
              <w:top w:val="single" w:color="auto" w:sz="4" w:space="0"/>
              <w:left w:val="single" w:color="auto" w:sz="4" w:space="0"/>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Underlying Certificates</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15</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16A</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16B</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17A</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17B</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17C</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17D</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4.500%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17E</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r>
        <w:tblPrEx>
          <w:tblCellMar>
            <w:top w:w="0" w:type="dxa"/>
            <w:left w:w="108" w:type="dxa"/>
            <w:bottom w:w="0" w:type="dxa"/>
            <w:right w:w="108" w:type="dxa"/>
          </w:tblCellMar>
        </w:tblPrEx>
        <w:trPr>
          <w:trHeight w:val="320" w:hRule="atLeast"/>
        </w:trPr>
        <w:tc>
          <w:tcPr>
            <w:tcW w:w="129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w:t>
            </w:r>
          </w:p>
        </w:tc>
        <w:tc>
          <w:tcPr>
            <w:tcW w:w="3717"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Ginnie Mae I</w:t>
            </w:r>
          </w:p>
        </w:tc>
        <w:tc>
          <w:tcPr>
            <w:tcW w:w="26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4.000%</w:t>
            </w:r>
          </w:p>
        </w:tc>
        <w:tc>
          <w:tcPr>
            <w:tcW w:w="1043"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r>
    </w:tbl>
    <w:p>
      <w:pPr>
        <w:rPr>
          <w:rFonts w:ascii="Times New Roman" w:hAnsi="Times New Roman" w:cs="Times New Roman"/>
        </w:rPr>
      </w:pPr>
    </w:p>
    <w:p>
      <w:pPr>
        <w:tabs>
          <w:tab w:val="left" w:pos="1124"/>
          <w:tab w:val="left" w:pos="1912"/>
          <w:tab w:val="left" w:pos="3837"/>
          <w:tab w:val="left" w:pos="5272"/>
          <w:tab w:val="left" w:pos="6501"/>
          <w:tab w:val="left" w:pos="7968"/>
          <w:tab w:val="left" w:pos="9629"/>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8"/>
          <w:szCs w:val="28"/>
        </w:rPr>
        <w:t>Assumed Characteristics of the Mortgage Loans Underlying the Trust Assets (October 1, 2019):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tbl>
      <w:tblPr>
        <w:tblStyle w:val="3"/>
        <w:tblW w:w="0" w:type="auto"/>
        <w:tblInd w:w="-38" w:type="dxa"/>
        <w:tblLayout w:type="fixed"/>
        <w:tblCellMar>
          <w:top w:w="0" w:type="dxa"/>
          <w:left w:w="108" w:type="dxa"/>
          <w:bottom w:w="0" w:type="dxa"/>
          <w:right w:w="108" w:type="dxa"/>
        </w:tblCellMar>
      </w:tblPr>
      <w:tblGrid>
        <w:gridCol w:w="1046"/>
        <w:gridCol w:w="788"/>
        <w:gridCol w:w="1925"/>
        <w:gridCol w:w="1435"/>
        <w:gridCol w:w="1229"/>
        <w:gridCol w:w="1467"/>
      </w:tblGrid>
      <w:tr>
        <w:tblPrEx>
          <w:tblCellMar>
            <w:top w:w="0" w:type="dxa"/>
            <w:left w:w="108" w:type="dxa"/>
            <w:bottom w:w="0" w:type="dxa"/>
            <w:right w:w="108" w:type="dxa"/>
          </w:tblCellMar>
        </w:tblPrEx>
        <w:trPr>
          <w:trHeight w:val="1489" w:hRule="atLeast"/>
        </w:trPr>
        <w:tc>
          <w:tcPr>
            <w:tcW w:w="1046"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Group or Subgroup</w:t>
            </w:r>
          </w:p>
        </w:tc>
        <w:tc>
          <w:tcPr>
            <w:tcW w:w="788" w:type="dxa"/>
            <w:gridSpan w:val="2"/>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Principal Balance</w:t>
            </w:r>
          </w:p>
        </w:tc>
        <w:tc>
          <w:tcPr>
            <w:tcW w:w="143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Weighted Average Remaining Term to Maturity</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 months)</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Weighted Average Loan Age</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 months)</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Weighted Average Mortgage Rate</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50,000,000(3)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4.517</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12,674,000(3)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356</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3.991</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116,534,641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4.009</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5A</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96,224,551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351</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5.569</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5B</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328,992,717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353</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5.544</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60,782,529(3)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359</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3.991</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96,123,221(3)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359</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3.538</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61,464,486(3)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3.485</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13A</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38,589,186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355</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13B</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45,508,166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355</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99,600,000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4.98</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16A</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50,000,000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5.53</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16B</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50,500,000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5.53</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17A</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6,290,631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106</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4.811</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17B</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4,442,576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187</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162</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6.047</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17C</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5,045,582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186</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6.472</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17D</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7,119,597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231</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17E</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382,876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131</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r>
      <w:tr>
        <w:tblPrEx>
          <w:tblCellMar>
            <w:top w:w="0" w:type="dxa"/>
            <w:left w:w="108" w:type="dxa"/>
            <w:bottom w:w="0" w:type="dxa"/>
            <w:right w:w="108" w:type="dxa"/>
          </w:tblCellMar>
        </w:tblPrEx>
        <w:trPr>
          <w:trHeight w:val="253" w:hRule="atLeast"/>
        </w:trPr>
        <w:tc>
          <w:tcPr>
            <w:tcW w:w="104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788"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44,109,542 </w:t>
            </w:r>
          </w:p>
        </w:tc>
        <w:tc>
          <w:tcPr>
            <w:tcW w:w="143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231</w:t>
            </w:r>
          </w:p>
        </w:tc>
        <w:tc>
          <w:tcPr>
            <w:tcW w:w="12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118</w:t>
            </w:r>
          </w:p>
        </w:tc>
        <w:tc>
          <w:tcPr>
            <w:tcW w:w="146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r>
    </w:tbl>
    <w:p>
      <w:pPr>
        <w:rPr>
          <w:rFonts w:ascii="Times New Roman" w:hAnsi="Times New Roman" w:cs="Times New Roman"/>
        </w:rPr>
      </w:pPr>
      <w:r>
        <w:rPr>
          <w:rFonts w:ascii="Times New Roman" w:hAnsi="Times New Roman" w:cs="Times New Roman"/>
        </w:rPr>
        <w:t>(3) High Balance</w:t>
      </w:r>
    </w:p>
    <w:tbl>
      <w:tblPr>
        <w:tblStyle w:val="3"/>
        <w:tblW w:w="11315" w:type="dxa"/>
        <w:tblInd w:w="-30" w:type="dxa"/>
        <w:tblLayout w:type="fixed"/>
        <w:tblCellMar>
          <w:top w:w="0" w:type="dxa"/>
          <w:left w:w="108" w:type="dxa"/>
          <w:bottom w:w="0" w:type="dxa"/>
          <w:right w:w="108" w:type="dxa"/>
        </w:tblCellMar>
      </w:tblPr>
      <w:tblGrid>
        <w:gridCol w:w="1046"/>
        <w:gridCol w:w="788"/>
        <w:gridCol w:w="1925"/>
        <w:gridCol w:w="1435"/>
        <w:gridCol w:w="1229"/>
        <w:gridCol w:w="1467"/>
        <w:gridCol w:w="1661"/>
        <w:gridCol w:w="1764"/>
      </w:tblGrid>
      <w:tr>
        <w:tblPrEx>
          <w:tblCellMar>
            <w:top w:w="0" w:type="dxa"/>
            <w:left w:w="108" w:type="dxa"/>
            <w:bottom w:w="0" w:type="dxa"/>
            <w:right w:w="108" w:type="dxa"/>
          </w:tblCellMar>
        </w:tblPrEx>
        <w:trPr>
          <w:trHeight w:val="523" w:hRule="atLeast"/>
        </w:trPr>
        <w:tc>
          <w:tcPr>
            <w:tcW w:w="1046" w:type="dxa"/>
            <w:gridSpan w:val="8"/>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The Mortgage Loans underlying the Group 1, 2, 3, 5, 6, 8, 11, 13, 15 and 16 and Subgroup 17A, 17B and 17C Trust Assets may bear interest at rates ranging from 0.25% to 1.50% per annum above the related Certificate Rate.</w:t>
            </w:r>
          </w:p>
        </w:tc>
      </w:tr>
      <w:tr>
        <w:tblPrEx>
          <w:tblCellMar>
            <w:top w:w="0" w:type="dxa"/>
            <w:left w:w="108" w:type="dxa"/>
            <w:bottom w:w="0" w:type="dxa"/>
            <w:right w:w="108" w:type="dxa"/>
          </w:tblCellMar>
        </w:tblPrEx>
        <w:trPr>
          <w:trHeight w:val="253" w:hRule="atLeast"/>
        </w:trPr>
        <w:tc>
          <w:tcPr>
            <w:tcW w:w="104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788"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25"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435"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2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46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66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6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r>
    </w:tbl>
    <w:p>
      <w:pPr>
        <w:rPr>
          <w:rFonts w:ascii="Times New Roman" w:hAnsi="Times New Roman" w:cs="Times New Roman"/>
        </w:rPr>
      </w:pPr>
    </w:p>
    <w:p>
      <w:pPr>
        <w:rPr>
          <w:rFonts w:ascii="Times New Roman" w:hAnsi="Times New Roman" w:cs="Times New Roman"/>
          <w:sz w:val="32"/>
          <w:szCs w:val="32"/>
        </w:rPr>
      </w:pPr>
      <w:r>
        <w:rPr>
          <w:rFonts w:ascii="Times New Roman" w:hAnsi="Times New Roman" w:cs="Times New Roman"/>
          <w:sz w:val="32"/>
          <w:szCs w:val="32"/>
        </w:rPr>
        <w:br w:type="page"/>
      </w:r>
    </w:p>
    <w:p>
      <w:pPr>
        <w:tabs>
          <w:tab w:val="left" w:pos="920"/>
          <w:tab w:val="left" w:pos="4829"/>
          <w:tab w:val="left" w:pos="10971"/>
          <w:tab w:val="left" w:pos="12494"/>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32"/>
          <w:szCs w:val="32"/>
        </w:rPr>
        <w:t>Ginnie Mae 2019-123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920"/>
          <w:tab w:val="left" w:pos="4829"/>
          <w:tab w:val="left" w:pos="10971"/>
          <w:tab w:val="left" w:pos="12494"/>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rPr>
        <w:t>Interest Rates: The Floating Rate and Inverse Floating Rate Classes will bear interest as follows:</w:t>
      </w:r>
      <w:r>
        <w:rPr>
          <w:rFonts w:ascii="Times New Roman" w:hAnsi="Times New Roman" w:cs="Times New Roman"/>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tbl>
      <w:tblPr>
        <w:tblStyle w:val="3"/>
        <w:tblW w:w="10938" w:type="dxa"/>
        <w:tblInd w:w="-38" w:type="dxa"/>
        <w:tblLayout w:type="fixed"/>
        <w:tblCellMar>
          <w:top w:w="0" w:type="dxa"/>
          <w:left w:w="108" w:type="dxa"/>
          <w:bottom w:w="0" w:type="dxa"/>
          <w:right w:w="108" w:type="dxa"/>
        </w:tblCellMar>
      </w:tblPr>
      <w:tblGrid>
        <w:gridCol w:w="667"/>
        <w:gridCol w:w="2615"/>
        <w:gridCol w:w="1761"/>
        <w:gridCol w:w="1227"/>
        <w:gridCol w:w="1524"/>
        <w:gridCol w:w="955"/>
        <w:gridCol w:w="2189"/>
      </w:tblGrid>
      <w:tr>
        <w:tblPrEx>
          <w:tblCellMar>
            <w:top w:w="0" w:type="dxa"/>
            <w:left w:w="108" w:type="dxa"/>
            <w:bottom w:w="0" w:type="dxa"/>
            <w:right w:w="108" w:type="dxa"/>
          </w:tblCellMar>
        </w:tblPrEx>
        <w:trPr>
          <w:trHeight w:val="779" w:hRule="atLeast"/>
        </w:trPr>
        <w:tc>
          <w:tcPr>
            <w:tcW w:w="667"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Class</w:t>
            </w:r>
          </w:p>
        </w:tc>
        <w:tc>
          <w:tcPr>
            <w:tcW w:w="261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Interest Rate Formula(1)</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Initial Interest Rate(2)</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Minimum Rate</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Maximum Rate</w:t>
            </w:r>
          </w:p>
        </w:tc>
        <w:tc>
          <w:tcPr>
            <w:tcW w:w="95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Delay</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 days)</w:t>
            </w:r>
          </w:p>
        </w:tc>
        <w:tc>
          <w:tcPr>
            <w:tcW w:w="218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LIBOR</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for Minimum</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Interest Rate</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FA</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+ 0.65%</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2.82%</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0.65%</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SA</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3.35%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1.18%</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3.35%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3.3500%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AF</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+ 0.45%</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2.64525%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0.45%</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6.05%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3.85475%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6.05%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6.0500%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FC</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+ 0.35%</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2.3395%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0.35%</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+ 0.35%</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2.3395%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0.35%</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4.1605%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SD</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4.1605%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SL</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4.1605%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6.1500%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SQ</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TBD</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10.50000147% - (LIBOR x 4.200001)</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TBD</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10.500001%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KT</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93.3333225% - (LIBOR x 2.333333)</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BF</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SB</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FM</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TBD</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FJ</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FN</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SJ</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SN</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9"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DF</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FB</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FP</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LIBOR + 0.40%</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2.28913%</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w:t>
            </w:r>
          </w:p>
        </w:tc>
        <w:tc>
          <w:tcPr>
            <w:tcW w:w="261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r>
        <w:tblPrEx>
          <w:tblCellMar>
            <w:top w:w="0" w:type="dxa"/>
            <w:left w:w="108" w:type="dxa"/>
            <w:bottom w:w="0" w:type="dxa"/>
            <w:right w:w="108" w:type="dxa"/>
          </w:tblCellMar>
        </w:tblPrEx>
        <w:trPr>
          <w:trHeight w:val="260" w:hRule="atLeast"/>
        </w:trPr>
        <w:tc>
          <w:tcPr>
            <w:tcW w:w="667" w:type="dxa"/>
            <w:tcBorders>
              <w:top w:val="single" w:color="auto" w:sz="6" w:space="0"/>
              <w:left w:val="single" w:color="auto" w:sz="6" w:space="0"/>
              <w:bottom w:val="single" w:color="auto" w:sz="6" w:space="0"/>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SP</w:t>
            </w:r>
          </w:p>
        </w:tc>
        <w:tc>
          <w:tcPr>
            <w:tcW w:w="261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 - LIBOR</w:t>
            </w:r>
          </w:p>
        </w:tc>
        <w:tc>
          <w:tcPr>
            <w:tcW w:w="17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4.21087%</w:t>
            </w:r>
          </w:p>
        </w:tc>
        <w:tc>
          <w:tcPr>
            <w:tcW w:w="122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w:t>
            </w:r>
          </w:p>
        </w:tc>
        <w:tc>
          <w:tcPr>
            <w:tcW w:w="152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95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8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6.1000%</w:t>
            </w:r>
          </w:p>
        </w:tc>
      </w:tr>
    </w:tbl>
    <w:p>
      <w:pPr>
        <w:rPr>
          <w:rFonts w:ascii="Times New Roman" w:hAnsi="Times New Roman" w:cs="Times New Roman"/>
        </w:rPr>
      </w:pPr>
    </w:p>
    <w:p>
      <w:pPr>
        <w:rPr>
          <w:rFonts w:ascii="Times New Roman" w:hAnsi="Times New Roman" w:cs="Times New Roman"/>
          <w:sz w:val="32"/>
          <w:szCs w:val="32"/>
        </w:rPr>
      </w:pPr>
      <w:r>
        <w:rPr>
          <w:rFonts w:ascii="Times New Roman" w:hAnsi="Times New Roman" w:cs="Times New Roman"/>
          <w:sz w:val="32"/>
          <w:szCs w:val="32"/>
        </w:rPr>
        <w:br w:type="page"/>
      </w:r>
    </w:p>
    <w:p>
      <w:pPr>
        <w:tabs>
          <w:tab w:val="left" w:pos="920"/>
          <w:tab w:val="left" w:pos="4829"/>
        </w:tabs>
        <w:autoSpaceDE w:val="0"/>
        <w:autoSpaceDN w:val="0"/>
        <w:adjustRightInd w:val="0"/>
        <w:spacing w:after="0" w:line="240" w:lineRule="auto"/>
        <w:ind w:left="78"/>
        <w:rPr>
          <w:rFonts w:ascii="Times New Roman" w:hAnsi="Times New Roman" w:cs="Times New Roman"/>
          <w:sz w:val="32"/>
          <w:szCs w:val="32"/>
        </w:rPr>
      </w:pPr>
      <w:r>
        <w:rPr>
          <w:rFonts w:ascii="Times New Roman" w:hAnsi="Times New Roman" w:cs="Times New Roman"/>
          <w:sz w:val="32"/>
          <w:szCs w:val="32"/>
        </w:rPr>
        <w:t>Ginnie Mae 2019-123</w:t>
      </w:r>
      <w:r>
        <w:rPr>
          <w:rFonts w:ascii="Times New Roman" w:hAnsi="Times New Roman" w:cs="Times New Roman"/>
          <w:sz w:val="32"/>
          <w:szCs w:val="32"/>
        </w:rPr>
        <w:tab/>
      </w:r>
      <w:r>
        <w:rPr>
          <w:rFonts w:ascii="Times New Roman" w:hAnsi="Times New Roman" w:cs="Times New Roman"/>
          <w:sz w:val="32"/>
          <w:szCs w:val="32"/>
        </w:rPr>
        <w:tab/>
      </w:r>
    </w:p>
    <w:p>
      <w:pPr>
        <w:tabs>
          <w:tab w:val="left" w:pos="920"/>
          <w:tab w:val="left" w:pos="4829"/>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28"/>
          <w:szCs w:val="28"/>
        </w:rPr>
        <w:t>Notional Classes</w:t>
      </w:r>
      <w:r>
        <w:rPr>
          <w:rFonts w:ascii="Times New Roman" w:hAnsi="Times New Roman" w:cs="Times New Roman"/>
          <w:sz w:val="28"/>
          <w:szCs w:val="28"/>
        </w:rPr>
        <w:tab/>
      </w:r>
      <w:r>
        <w:rPr>
          <w:rFonts w:ascii="Times New Roman" w:hAnsi="Times New Roman" w:cs="Times New Roman"/>
          <w:sz w:val="36"/>
          <w:szCs w:val="36"/>
        </w:rPr>
        <w:tab/>
      </w:r>
    </w:p>
    <w:tbl>
      <w:tblPr>
        <w:tblStyle w:val="3"/>
        <w:tblW w:w="10893" w:type="dxa"/>
        <w:tblInd w:w="-30" w:type="dxa"/>
        <w:tblLayout w:type="fixed"/>
        <w:tblCellMar>
          <w:top w:w="0" w:type="dxa"/>
          <w:left w:w="108" w:type="dxa"/>
          <w:bottom w:w="0" w:type="dxa"/>
          <w:right w:w="108" w:type="dxa"/>
        </w:tblCellMar>
      </w:tblPr>
      <w:tblGrid>
        <w:gridCol w:w="772"/>
        <w:gridCol w:w="70"/>
        <w:gridCol w:w="1708"/>
        <w:gridCol w:w="2201"/>
        <w:gridCol w:w="3770"/>
        <w:gridCol w:w="2372"/>
      </w:tblGrid>
      <w:tr>
        <w:tblPrEx>
          <w:tblCellMar>
            <w:top w:w="0" w:type="dxa"/>
            <w:left w:w="108" w:type="dxa"/>
            <w:bottom w:w="0" w:type="dxa"/>
            <w:right w:w="108" w:type="dxa"/>
          </w:tblCellMar>
        </w:tblPrEx>
        <w:trPr>
          <w:gridAfter w:val="1"/>
          <w:wAfter w:w="2372" w:type="dxa"/>
          <w:trHeight w:val="519" w:hRule="atLeast"/>
        </w:trPr>
        <w:tc>
          <w:tcPr>
            <w:tcW w:w="772" w:type="dxa"/>
            <w:tcBorders>
              <w:top w:val="nil"/>
              <w:left w:val="nil"/>
              <w:bottom w:val="single" w:color="auto" w:sz="6" w:space="0"/>
              <w:right w:val="nil"/>
            </w:tcBorders>
          </w:tcPr>
          <w:p>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Class</w:t>
            </w:r>
          </w:p>
        </w:tc>
        <w:tc>
          <w:tcPr>
            <w:tcW w:w="1778" w:type="dxa"/>
            <w:gridSpan w:val="2"/>
            <w:tcBorders>
              <w:top w:val="nil"/>
              <w:left w:val="nil"/>
              <w:bottom w:val="single" w:color="auto" w:sz="6" w:space="0"/>
              <w:right w:val="nil"/>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Original Class</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Notional Balance</w:t>
            </w:r>
          </w:p>
        </w:tc>
        <w:tc>
          <w:tcPr>
            <w:tcW w:w="5971" w:type="dxa"/>
            <w:gridSpan w:val="2"/>
            <w:tcBorders>
              <w:top w:val="nil"/>
              <w:left w:val="nil"/>
              <w:bottom w:val="single" w:color="auto" w:sz="6" w:space="0"/>
              <w:right w:val="nil"/>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Represents Approximately</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SA</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$50,000,000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FA (PT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1,428,571</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14.2857142857% of LA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AS</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25,116,965</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AF (PAC/AD Class)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5,694,454</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16.6666666667% of the Subgroup 4A Trust Assets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IA</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5,196,435</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11.1111111111% of the Subgroup 4B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50,188,560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FC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SD</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234,234,617</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FC and FL (in the aggregate) (PAC/AD Classes)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SL</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184,046,057</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FL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13,574,396</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the Subgroup 7B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IO</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50,184,865</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the Group 7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15,021,085</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the Subgroup 7C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7,406,634</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the Subgroup 7A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14,182,750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the Subgroup 7D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IP</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20,498,065</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44.4444444444% of PA (SC/PAC/AD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SQ</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4,478,027</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the Subgroup 10B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BI</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22,276,869</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41.6666666667% of BA and BY (in the aggregate) (PAC/AD Classes)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IB</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20,839,729</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41.6666666667% of BA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BS</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$22,050,963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57.1428560323% of the Subgroup 13A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pPr>
              <w:autoSpaceDE w:val="0"/>
              <w:autoSpaceDN w:val="0"/>
              <w:adjustRightInd w:val="0"/>
              <w:spacing w:after="0" w:line="240" w:lineRule="auto"/>
              <w:jc w:val="right"/>
              <w:rPr>
                <w:rFonts w:ascii="Times New Roman" w:hAnsi="Times New Roman" w:cs="Times New Roman"/>
                <w:sz w:val="20"/>
                <w:szCs w:val="20"/>
                <w:u w:val="single"/>
              </w:rPr>
            </w:pPr>
            <w:r>
              <w:rPr>
                <w:rFonts w:ascii="Times New Roman" w:hAnsi="Times New Roman" w:cs="Times New Roman"/>
                <w:sz w:val="20"/>
                <w:szCs w:val="20"/>
                <w:u w:val="single"/>
              </w:rPr>
              <w:t>26,004,666</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57.142856515% of the Subgroup 13B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color="auto" w:sz="24" w:space="0"/>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$48,055,629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20"/>
                <w:szCs w:val="20"/>
              </w:rPr>
            </w:pP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CS</w:t>
            </w:r>
          </w:p>
        </w:tc>
        <w:tc>
          <w:tcPr>
            <w:tcW w:w="1778" w:type="dxa"/>
            <w:gridSpan w:val="2"/>
            <w:tcBorders>
              <w:top w:val="thickThinMediumGap" w:color="auto" w:sz="24" w:space="0"/>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$22,050,963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57.1428560323% of the Subgroup 13A Trust Assets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SB</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26,004,666</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57.142856515% of the Subgroup 13B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$19,642,333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FJ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pPr>
              <w:autoSpaceDE w:val="0"/>
              <w:autoSpaceDN w:val="0"/>
              <w:adjustRightInd w:val="0"/>
              <w:spacing w:after="0" w:line="240" w:lineRule="auto"/>
              <w:jc w:val="right"/>
              <w:rPr>
                <w:rFonts w:ascii="Times New Roman" w:hAnsi="Times New Roman" w:cs="Times New Roman"/>
                <w:sz w:val="20"/>
                <w:szCs w:val="20"/>
                <w:u w:val="single"/>
              </w:rPr>
            </w:pPr>
            <w:r>
              <w:rPr>
                <w:rFonts w:ascii="Times New Roman" w:hAnsi="Times New Roman" w:cs="Times New Roman"/>
                <w:sz w:val="20"/>
                <w:szCs w:val="20"/>
                <w:u w:val="single"/>
              </w:rPr>
              <w:t>33,200,000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FN (PT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color="auto" w:sz="24" w:space="0"/>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$52,842,333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20"/>
                <w:szCs w:val="20"/>
              </w:rPr>
            </w:pP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SJ</w:t>
            </w:r>
          </w:p>
        </w:tc>
        <w:tc>
          <w:tcPr>
            <w:tcW w:w="1778" w:type="dxa"/>
            <w:gridSpan w:val="2"/>
            <w:tcBorders>
              <w:top w:val="thickThinMediumGap" w:color="auto" w:sz="24" w:space="0"/>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19,642,333</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FJ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SN</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33,200,000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FN (PT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DS</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14,777,000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DF (PAC/AD Class)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25,000,000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50% of the Subgroup 16A Trust Assets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25,250,000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50% of the Subgroup 16B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SP</w:t>
            </w: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$14,777,000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100% of DF (PAC/AD Class)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pPr>
              <w:autoSpaceDE w:val="0"/>
              <w:autoSpaceDN w:val="0"/>
              <w:adjustRightInd w:val="0"/>
              <w:spacing w:after="0" w:line="240" w:lineRule="auto"/>
              <w:jc w:val="right"/>
              <w:rPr>
                <w:rFonts w:ascii="Times New Roman" w:hAnsi="Times New Roman" w:cs="Times New Roman"/>
                <w:sz w:val="20"/>
                <w:szCs w:val="20"/>
                <w:u w:val="single"/>
              </w:rPr>
            </w:pPr>
            <w:r>
              <w:rPr>
                <w:rFonts w:ascii="Times New Roman" w:hAnsi="Times New Roman" w:cs="Times New Roman"/>
                <w:sz w:val="20"/>
                <w:szCs w:val="20"/>
                <w:u w:val="single"/>
              </w:rPr>
              <w:t>25,250,000</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50% of the Subgroup 16B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color="auto" w:sz="24" w:space="0"/>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$40,027,000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20"/>
                <w:szCs w:val="20"/>
              </w:rPr>
            </w:pP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HI</w:t>
            </w:r>
          </w:p>
        </w:tc>
        <w:tc>
          <w:tcPr>
            <w:tcW w:w="1778" w:type="dxa"/>
            <w:gridSpan w:val="2"/>
            <w:tcBorders>
              <w:top w:val="thickThinMediumGap" w:color="auto" w:sz="24" w:space="0"/>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$3,470,762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78.125% of the Subgroup 17B Trust Assets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4,572,558</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90.625% of the Subgroup 17C Trust Assets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pPr>
              <w:autoSpaceDE w:val="0"/>
              <w:autoSpaceDN w:val="0"/>
              <w:adjustRightInd w:val="0"/>
              <w:spacing w:after="0" w:line="240" w:lineRule="auto"/>
              <w:jc w:val="right"/>
              <w:rPr>
                <w:rFonts w:ascii="Times New Roman" w:hAnsi="Times New Roman" w:cs="Times New Roman"/>
                <w:sz w:val="20"/>
                <w:szCs w:val="20"/>
                <w:u w:val="single"/>
              </w:rPr>
            </w:pPr>
            <w:r>
              <w:rPr>
                <w:rFonts w:ascii="Times New Roman" w:hAnsi="Times New Roman" w:cs="Times New Roman"/>
                <w:sz w:val="20"/>
                <w:szCs w:val="20"/>
                <w:u w:val="single"/>
              </w:rPr>
              <w:t>346,981</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90.625% of the Subgroup 17E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color="auto" w:sz="24" w:space="0"/>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$8,390,301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20"/>
                <w:szCs w:val="20"/>
              </w:rPr>
            </w:pP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IH</w:t>
            </w:r>
          </w:p>
        </w:tc>
        <w:tc>
          <w:tcPr>
            <w:tcW w:w="1778" w:type="dxa"/>
            <w:gridSpan w:val="2"/>
            <w:tcBorders>
              <w:top w:val="thickThinMediumGap" w:color="auto" w:sz="24" w:space="0"/>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$2,970,575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47.2222222222% of the Subgroup 17A Trust Assets</w:t>
            </w:r>
          </w:p>
        </w:tc>
      </w:tr>
      <w:tr>
        <w:tblPrEx>
          <w:tblCellMar>
            <w:top w:w="0" w:type="dxa"/>
            <w:left w:w="108" w:type="dxa"/>
            <w:bottom w:w="0" w:type="dxa"/>
            <w:right w:w="108" w:type="dxa"/>
          </w:tblCellMar>
        </w:tblPrEx>
        <w:trPr>
          <w:gridAfter w:val="1"/>
          <w:wAfter w:w="2372" w:type="dxa"/>
          <w:trHeight w:val="289"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right w:val="nil"/>
            </w:tcBorders>
          </w:tcPr>
          <w:p>
            <w:pPr>
              <w:autoSpaceDE w:val="0"/>
              <w:autoSpaceDN w:val="0"/>
              <w:adjustRightInd w:val="0"/>
              <w:spacing w:after="0" w:line="240" w:lineRule="auto"/>
              <w:jc w:val="right"/>
              <w:rPr>
                <w:rFonts w:ascii="Times New Roman" w:hAnsi="Times New Roman" w:cs="Times New Roman"/>
                <w:sz w:val="20"/>
                <w:szCs w:val="20"/>
                <w:u w:val="single"/>
              </w:rPr>
            </w:pPr>
            <w:r>
              <w:rPr>
                <w:rFonts w:ascii="Times New Roman" w:hAnsi="Times New Roman" w:cs="Times New Roman"/>
                <w:sz w:val="20"/>
                <w:szCs w:val="20"/>
                <w:u w:val="single"/>
              </w:rPr>
              <w:t>3,362,031</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47.2222222222% of the Subgroup 17D Trust Assets</w:t>
            </w: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778" w:type="dxa"/>
            <w:gridSpan w:val="2"/>
            <w:tcBorders>
              <w:top w:val="nil"/>
              <w:left w:val="nil"/>
              <w:bottom w:val="thickThinMediumGap" w:color="auto" w:sz="24" w:space="0"/>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$6,332,606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20"/>
                <w:szCs w:val="20"/>
              </w:rPr>
            </w:pPr>
          </w:p>
        </w:tc>
      </w:tr>
      <w:tr>
        <w:tblPrEx>
          <w:tblCellMar>
            <w:top w:w="0" w:type="dxa"/>
            <w:left w:w="108" w:type="dxa"/>
            <w:bottom w:w="0" w:type="dxa"/>
            <w:right w:w="108" w:type="dxa"/>
          </w:tblCellMar>
        </w:tblPrEx>
        <w:trPr>
          <w:gridAfter w:val="1"/>
          <w:wAfter w:w="2372" w:type="dxa"/>
          <w:trHeight w:val="260" w:hRule="atLeast"/>
        </w:trPr>
        <w:tc>
          <w:tcPr>
            <w:tcW w:w="772"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IG</w:t>
            </w:r>
          </w:p>
        </w:tc>
        <w:tc>
          <w:tcPr>
            <w:tcW w:w="1778" w:type="dxa"/>
            <w:gridSpan w:val="2"/>
            <w:tcBorders>
              <w:top w:val="thickThinMediumGap" w:color="auto" w:sz="24" w:space="0"/>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$22,054,771 </w:t>
            </w:r>
          </w:p>
        </w:tc>
        <w:tc>
          <w:tcPr>
            <w:tcW w:w="5971"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50% of G (PT Class)</w:t>
            </w:r>
          </w:p>
        </w:tc>
      </w:tr>
      <w:tr>
        <w:tblPrEx>
          <w:tblCellMar>
            <w:top w:w="0" w:type="dxa"/>
            <w:left w:w="108" w:type="dxa"/>
            <w:bottom w:w="0" w:type="dxa"/>
            <w:right w:w="108" w:type="dxa"/>
          </w:tblCellMar>
        </w:tblPrEx>
        <w:trPr>
          <w:trHeight w:val="260" w:hRule="atLeast"/>
        </w:trPr>
        <w:tc>
          <w:tcPr>
            <w:tcW w:w="842" w:type="dxa"/>
            <w:gridSpan w:val="2"/>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3909"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6142"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20"/>
                <w:szCs w:val="20"/>
              </w:rPr>
            </w:pPr>
          </w:p>
        </w:tc>
      </w:tr>
      <w:tr>
        <w:tblPrEx>
          <w:tblCellMar>
            <w:top w:w="0" w:type="dxa"/>
            <w:left w:w="108" w:type="dxa"/>
            <w:bottom w:w="0" w:type="dxa"/>
            <w:right w:w="108" w:type="dxa"/>
          </w:tblCellMar>
        </w:tblPrEx>
        <w:trPr>
          <w:trHeight w:val="260" w:hRule="atLeast"/>
        </w:trPr>
        <w:tc>
          <w:tcPr>
            <w:tcW w:w="842" w:type="dxa"/>
            <w:gridSpan w:val="2"/>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p>
        </w:tc>
        <w:tc>
          <w:tcPr>
            <w:tcW w:w="3909"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6142" w:type="dxa"/>
            <w:gridSpan w:val="2"/>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r>
        <w:rPr>
          <w:rFonts w:ascii="Times New Roman" w:hAnsi="Times New Roman" w:cs="Times New Roman"/>
        </w:rPr>
        <w:t>Class KI is a Weighted Average Coupon Class that will accrue interest during each Accrual Period at an equivalent annualized rate derived by aggregating the accrued interest on Subgroup 7C Trust Assets for such Accrual Period expressed as a percentage of its outstanding notional balance for such Accrual Period The approximate initial Interest Rate for Class KI is [     ]%.</w:t>
      </w:r>
    </w:p>
    <w:p>
      <w:pPr>
        <w:pStyle w:val="2"/>
        <w:rPr>
          <w:sz w:val="22"/>
          <w:szCs w:val="22"/>
        </w:rPr>
      </w:pPr>
    </w:p>
    <w:p>
      <w:pPr>
        <w:pStyle w:val="2"/>
        <w:rPr>
          <w:sz w:val="22"/>
          <w:szCs w:val="22"/>
        </w:rPr>
      </w:pPr>
      <w:r>
        <w:rPr>
          <w:sz w:val="22"/>
          <w:szCs w:val="22"/>
        </w:rPr>
        <w:t>Class WI is a Weighted Average Coupon Class that will accrue interest during each Accrual Period at an equivalent annualized rate derived by aggregating the accrued interest on Subgroup 7D Trust Assets for such Accrual Period expressed as a percentage of its outstanding notional balance for such Accrual Period The approximate initial Interest Rate for Class WI is [     ]%.</w:t>
      </w:r>
    </w:p>
    <w:p>
      <w:pPr>
        <w:pStyle w:val="2"/>
        <w:rPr>
          <w:sz w:val="22"/>
          <w:szCs w:val="22"/>
        </w:rPr>
      </w:pPr>
    </w:p>
    <w:p>
      <w:pPr>
        <w:pStyle w:val="2"/>
        <w:rPr>
          <w:sz w:val="22"/>
          <w:szCs w:val="22"/>
        </w:rPr>
      </w:pPr>
      <w:r>
        <w:rPr>
          <w:sz w:val="22"/>
          <w:szCs w:val="22"/>
        </w:rPr>
        <w:t>Class IO is a Weighted Average Coupon Class that will accrue interest during each Accrual Period at an equivalent annualized rate derived by aggregating the accrued interest on the related REMIC Class for such Accrual Period expressed as a percentage of its outstanding notional balance for such Accrual Period The approximate initial Interest Rate for Class IO is [     ]%.</w:t>
      </w:r>
    </w:p>
    <w:p>
      <w:pPr>
        <w:pStyle w:val="2"/>
        <w:rPr>
          <w:sz w:val="22"/>
          <w:szCs w:val="22"/>
        </w:rPr>
      </w:pPr>
    </w:p>
    <w:p>
      <w:pPr>
        <w:pStyle w:val="2"/>
        <w:rPr>
          <w:sz w:val="22"/>
          <w:szCs w:val="22"/>
        </w:rPr>
      </w:pPr>
    </w:p>
    <w:p>
      <w:pPr>
        <w:pStyle w:val="2"/>
        <w:rPr>
          <w:sz w:val="22"/>
          <w:szCs w:val="22"/>
        </w:rPr>
      </w:pPr>
      <w:r>
        <w:rPr>
          <w:sz w:val="22"/>
          <w:szCs w:val="22"/>
        </w:rPr>
        <w:t>Class WA is a Weighted Average Coupon Class that will accrue interest during each Accrual Period at an equivalent annualized rate derived by aggregating the accrued interest on the related REMIC Class for such Accrual Period expressed as a percentage of its outstanding notional balance for such Accrual Period The approximate initial Interest Rate for Class WA is [     ]%.</w:t>
      </w:r>
    </w:p>
    <w:p>
      <w:pPr>
        <w:pStyle w:val="2"/>
        <w:rPr>
          <w:sz w:val="22"/>
          <w:szCs w:val="22"/>
          <w:highlight w:val="yellow"/>
        </w:rPr>
      </w:pPr>
    </w:p>
    <w:p>
      <w:pPr>
        <w:pStyle w:val="2"/>
        <w:rPr>
          <w:sz w:val="22"/>
          <w:szCs w:val="22"/>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Allocation of Principal:</w:t>
      </w:r>
      <w:r>
        <w:rPr>
          <w:rFonts w:ascii="Times New Roman" w:hAnsi="Times New Roman" w:cs="Times New Roman"/>
        </w:rPr>
        <w:t xml:space="preserve"> On each Distribution Date for a Security Group, the following distributions will be made to the related Securities:</w:t>
      </w:r>
    </w:p>
    <w:p>
      <w:pPr>
        <w:rPr>
          <w:rFonts w:ascii="Times New Roman" w:hAnsi="Times New Roman" w:cs="Times New Roman"/>
        </w:rPr>
      </w:pPr>
    </w:p>
    <w:p>
      <w:pPr>
        <w:jc w:val="center"/>
        <w:rPr>
          <w:rFonts w:ascii="Times New Roman" w:hAnsi="Times New Roman" w:cs="Times New Roman"/>
          <w:b/>
        </w:rPr>
      </w:pPr>
      <w:r>
        <w:rPr>
          <w:rFonts w:ascii="Times New Roman" w:hAnsi="Times New Roman" w:cs="Times New Roman"/>
          <w:b/>
        </w:rPr>
        <w:t>SECURITY GROUP 1</w:t>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rPr>
        <w:t>The Group 1 Principal Distribution Amount will be allocated to FA, until retired</w:t>
      </w:r>
      <w:r>
        <w:rPr>
          <w:rFonts w:ascii="Times New Roman" w:hAnsi="Times New Roman" w:cs="Times New Roman"/>
          <w:u w:val="single"/>
        </w:rPr>
        <w:t xml:space="preserve"> </w:t>
      </w:r>
    </w:p>
    <w:p>
      <w:pPr>
        <w:rPr>
          <w:rFonts w:ascii="Times New Roman" w:hAnsi="Times New Roman" w:cs="Times New Roman"/>
          <w:u w:val="single"/>
        </w:rPr>
      </w:pPr>
    </w:p>
    <w:p>
      <w:pPr>
        <w:jc w:val="center"/>
        <w:rPr>
          <w:rFonts w:ascii="Times New Roman" w:hAnsi="Times New Roman" w:cs="Times New Roman"/>
          <w:b/>
        </w:rPr>
      </w:pPr>
      <w:r>
        <w:rPr>
          <w:rFonts w:ascii="Times New Roman" w:hAnsi="Times New Roman" w:cs="Times New Roman"/>
          <w:b/>
        </w:rPr>
        <w:t>SECURITY GROUP 2</w:t>
      </w:r>
    </w:p>
    <w:p>
      <w:pPr>
        <w:jc w:val="center"/>
        <w:rPr>
          <w:rFonts w:ascii="Times New Roman" w:hAnsi="Times New Roman" w:cs="Times New Roman"/>
          <w:b/>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Group 2 Principal Distribution Amount and the ZL Accrual Amount will be allocated in the following order of priority:</w:t>
      </w:r>
    </w:p>
    <w:p>
      <w:pPr>
        <w:rPr>
          <w:rFonts w:ascii="Times New Roman" w:hAnsi="Times New Roman" w:cs="Times New Roman"/>
        </w:rPr>
      </w:pPr>
    </w:p>
    <w:p>
      <w:pPr>
        <w:pStyle w:val="5"/>
        <w:numPr>
          <w:ilvl w:val="0"/>
          <w:numId w:val="1"/>
        </w:numPr>
        <w:spacing w:after="0"/>
        <w:rPr>
          <w:rFonts w:ascii="Times New Roman" w:hAnsi="Times New Roman"/>
        </w:rPr>
      </w:pPr>
      <w:r>
        <w:rPr>
          <w:rFonts w:ascii="Times New Roman" w:hAnsi="Times New Roman"/>
        </w:rPr>
        <w:t>Sequentially, to LA and LY, in that order, until reduced to their Aggregate Scheduled Principal Balance for that Distribution Date</w:t>
      </w:r>
    </w:p>
    <w:p>
      <w:pPr>
        <w:pStyle w:val="5"/>
        <w:numPr>
          <w:ilvl w:val="0"/>
          <w:numId w:val="1"/>
        </w:numPr>
        <w:spacing w:after="0"/>
        <w:rPr>
          <w:rFonts w:ascii="Times New Roman" w:hAnsi="Times New Roman"/>
        </w:rPr>
      </w:pPr>
      <w:r>
        <w:rPr>
          <w:rFonts w:ascii="Times New Roman" w:hAnsi="Times New Roman"/>
        </w:rPr>
        <w:t>To ZL, until retired</w:t>
      </w:r>
    </w:p>
    <w:p>
      <w:pPr>
        <w:pStyle w:val="5"/>
        <w:numPr>
          <w:ilvl w:val="0"/>
          <w:numId w:val="1"/>
        </w:numPr>
        <w:spacing w:after="0"/>
        <w:rPr>
          <w:rFonts w:ascii="Times New Roman" w:hAnsi="Times New Roman"/>
        </w:rPr>
      </w:pPr>
      <w:r>
        <w:rPr>
          <w:rFonts w:ascii="Times New Roman" w:hAnsi="Times New Roman"/>
        </w:rPr>
        <w:t>Sequentially, to LA and LY, in that order, without regard to their Aggregate Scheduled Principal Balance, until retired</w:t>
      </w:r>
    </w:p>
    <w:p>
      <w:pPr>
        <w:jc w:val="center"/>
        <w:rPr>
          <w:rFonts w:ascii="Times New Roman" w:hAnsi="Times New Roman" w:cs="Times New Roman"/>
          <w:b/>
        </w:rPr>
      </w:pP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SECURITY GROUP 3</w:t>
      </w:r>
    </w:p>
    <w:p>
      <w:pPr>
        <w:jc w:val="center"/>
        <w:rPr>
          <w:rFonts w:ascii="Times New Roman" w:hAnsi="Times New Roman" w:cs="Times New Roman"/>
          <w:b/>
        </w:rPr>
      </w:pPr>
    </w:p>
    <w:p>
      <w:pPr>
        <w:rPr>
          <w:rFonts w:ascii="Times New Roman" w:hAnsi="Times New Roman" w:cs="Times New Roman"/>
          <w:sz w:val="24"/>
          <w:szCs w:val="24"/>
        </w:rPr>
      </w:pPr>
      <w:r>
        <w:rPr>
          <w:rFonts w:ascii="Times New Roman" w:hAnsi="Times New Roman" w:cs="Times New Roman"/>
          <w:sz w:val="24"/>
          <w:szCs w:val="24"/>
        </w:rPr>
        <w:t>The Group 3 Principal Distribution Amount and the PZ Accrual Amount will be allocated in the following order of priority:</w:t>
      </w:r>
    </w:p>
    <w:p>
      <w:pPr>
        <w:rPr>
          <w:rFonts w:ascii="Times New Roman" w:hAnsi="Times New Roman" w:cs="Times New Roman"/>
          <w:sz w:val="24"/>
          <w:szCs w:val="24"/>
        </w:rPr>
      </w:pPr>
    </w:p>
    <w:p>
      <w:pPr>
        <w:pStyle w:val="5"/>
        <w:numPr>
          <w:ilvl w:val="0"/>
          <w:numId w:val="2"/>
        </w:numPr>
        <w:spacing w:after="0"/>
        <w:rPr>
          <w:rFonts w:ascii="Times New Roman" w:hAnsi="Times New Roman"/>
          <w:sz w:val="24"/>
          <w:szCs w:val="24"/>
        </w:rPr>
      </w:pPr>
      <w:r>
        <w:rPr>
          <w:rFonts w:ascii="Times New Roman" w:hAnsi="Times New Roman"/>
          <w:sz w:val="24"/>
          <w:szCs w:val="24"/>
        </w:rPr>
        <w:t>To AF, PB and PY, until reduced to their Aggregate Scheduled Principal Balance for that Distribution Date, concurrently, as follows:</w:t>
      </w:r>
    </w:p>
    <w:p>
      <w:pPr>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24.9999995023% to AF, until retired</w:t>
      </w:r>
    </w:p>
    <w:p>
      <w:pPr>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75.0000004977%, sequentially, to PB and PY, in that order, until retired</w:t>
      </w:r>
    </w:p>
    <w:p>
      <w:pPr>
        <w:pStyle w:val="5"/>
        <w:numPr>
          <w:ilvl w:val="0"/>
          <w:numId w:val="2"/>
        </w:numPr>
        <w:spacing w:after="0"/>
        <w:rPr>
          <w:rFonts w:ascii="Times New Roman" w:hAnsi="Times New Roman"/>
          <w:sz w:val="24"/>
          <w:szCs w:val="24"/>
        </w:rPr>
      </w:pPr>
      <w:r>
        <w:rPr>
          <w:rFonts w:ascii="Times New Roman" w:hAnsi="Times New Roman"/>
          <w:sz w:val="24"/>
          <w:szCs w:val="24"/>
        </w:rPr>
        <w:t>To PZ, until retired</w:t>
      </w:r>
    </w:p>
    <w:p>
      <w:pPr>
        <w:pStyle w:val="5"/>
        <w:numPr>
          <w:ilvl w:val="0"/>
          <w:numId w:val="2"/>
        </w:numPr>
        <w:spacing w:after="0"/>
        <w:rPr>
          <w:rFonts w:ascii="Times New Roman" w:hAnsi="Times New Roman"/>
          <w:sz w:val="24"/>
          <w:szCs w:val="24"/>
        </w:rPr>
      </w:pPr>
      <w:r>
        <w:rPr>
          <w:rFonts w:ascii="Times New Roman" w:hAnsi="Times New Roman" w:eastAsia="Times New Roman"/>
          <w:sz w:val="24"/>
          <w:szCs w:val="24"/>
        </w:rPr>
        <w:t xml:space="preserve">To </w:t>
      </w:r>
      <w:r>
        <w:rPr>
          <w:rFonts w:ascii="Times New Roman" w:hAnsi="Times New Roman"/>
          <w:sz w:val="24"/>
          <w:szCs w:val="24"/>
        </w:rPr>
        <w:t>AF, PB and PY</w:t>
      </w:r>
      <w:r>
        <w:rPr>
          <w:rFonts w:ascii="Times New Roman" w:hAnsi="Times New Roman" w:eastAsia="Times New Roman"/>
          <w:sz w:val="24"/>
          <w:szCs w:val="24"/>
        </w:rPr>
        <w:t xml:space="preserve">, in the same manner and priority as step 1. above, but </w:t>
      </w:r>
      <w:r>
        <w:rPr>
          <w:rFonts w:ascii="Times New Roman" w:hAnsi="Times New Roman"/>
          <w:sz w:val="24"/>
          <w:szCs w:val="24"/>
        </w:rPr>
        <w:t>without regard to their Aggregate Scheduled Principal Balance, until retired</w:t>
      </w:r>
    </w:p>
    <w:p>
      <w:pPr>
        <w:jc w:val="center"/>
        <w:rPr>
          <w:rFonts w:ascii="Times New Roman" w:hAnsi="Times New Roman" w:cs="Times New Roman"/>
          <w:b/>
        </w:rPr>
      </w:pPr>
    </w:p>
    <w:p>
      <w:pPr>
        <w:jc w:val="cente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4</w:t>
      </w:r>
    </w:p>
    <w:p>
      <w:pPr>
        <w:jc w:val="center"/>
        <w:rPr>
          <w:rFonts w:ascii="Times New Roman" w:hAnsi="Times New Roman" w:cs="Times New Roman"/>
          <w:b/>
          <w:sz w:val="24"/>
          <w:szCs w:val="24"/>
        </w:rPr>
      </w:pPr>
    </w:p>
    <w:p>
      <w:pPr>
        <w:rPr>
          <w:rFonts w:ascii="Times New Roman" w:hAnsi="Times New Roman" w:cs="Times New Roman"/>
          <w:sz w:val="24"/>
          <w:szCs w:val="24"/>
          <w:u w:val="single"/>
        </w:rPr>
      </w:pPr>
      <w:r>
        <w:rPr>
          <w:rFonts w:ascii="Times New Roman" w:hAnsi="Times New Roman" w:cs="Times New Roman"/>
          <w:sz w:val="24"/>
          <w:szCs w:val="24"/>
        </w:rPr>
        <w:t>The Group 4 Principal Distribution Amount will be allocated to PT, until retired</w:t>
      </w:r>
      <w:r>
        <w:rPr>
          <w:rFonts w:ascii="Times New Roman" w:hAnsi="Times New Roman" w:cs="Times New Roman"/>
          <w:sz w:val="24"/>
          <w:szCs w:val="24"/>
          <w:u w:val="single"/>
        </w:rPr>
        <w:t xml:space="preserve"> </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5</w:t>
      </w:r>
    </w:p>
    <w:p>
      <w:pPr>
        <w:jc w:val="center"/>
        <w:rPr>
          <w:rFonts w:ascii="Times New Roman" w:hAnsi="Times New Roman" w:cs="Times New Roman"/>
          <w:b/>
        </w:rPr>
      </w:pPr>
    </w:p>
    <w:p>
      <w:pPr>
        <w:rPr>
          <w:rFonts w:ascii="Times New Roman" w:hAnsi="Times New Roman" w:cs="Times New Roman"/>
        </w:rPr>
      </w:pPr>
      <w:r>
        <w:rPr>
          <w:rFonts w:ascii="Times New Roman" w:hAnsi="Times New Roman" w:cs="Times New Roman"/>
        </w:rPr>
        <w:t>The Subgroup 5A Principal Distribution Amount, the Subgroup 5B Principal Distribution Amount, the CZ Accrual Amount, the LZ Accrual Amount and the ZA Accrual Amount will be allocated as follows:</w:t>
      </w:r>
    </w:p>
    <w:p>
      <w:pPr>
        <w:jc w:val="center"/>
        <w:rPr>
          <w:rFonts w:ascii="Times New Roman" w:hAnsi="Times New Roman" w:cs="Times New Roman"/>
          <w:b/>
        </w:rPr>
      </w:pPr>
    </w:p>
    <w:p>
      <w:pPr>
        <w:jc w:val="center"/>
        <w:rPr>
          <w:rFonts w:ascii="Times New Roman" w:hAnsi="Times New Roman" w:cs="Times New Roman"/>
          <w:b/>
        </w:rPr>
      </w:pPr>
    </w:p>
    <w:p>
      <w:pPr>
        <w:pStyle w:val="5"/>
        <w:numPr>
          <w:ilvl w:val="0"/>
          <w:numId w:val="3"/>
        </w:numPr>
        <w:spacing w:after="0"/>
        <w:rPr>
          <w:rFonts w:ascii="Times New Roman" w:hAnsi="Times New Roman"/>
        </w:rPr>
      </w:pPr>
      <w:r>
        <w:rPr>
          <w:rFonts w:ascii="Times New Roman" w:hAnsi="Times New Roman"/>
        </w:rPr>
        <w:t>The ZA Accrual Amount, sequentially, to PL and ZA, in that order, until retired</w:t>
      </w:r>
    </w:p>
    <w:p>
      <w:pPr>
        <w:jc w:val="center"/>
        <w:rPr>
          <w:rFonts w:ascii="Times New Roman" w:hAnsi="Times New Roman" w:cs="Times New Roman"/>
          <w:b/>
        </w:rPr>
      </w:pPr>
    </w:p>
    <w:p>
      <w:pPr>
        <w:pStyle w:val="5"/>
        <w:numPr>
          <w:ilvl w:val="0"/>
          <w:numId w:val="3"/>
        </w:numPr>
        <w:spacing w:after="0" w:line="240" w:lineRule="auto"/>
        <w:rPr>
          <w:rFonts w:ascii="Times New Roman" w:hAnsi="Times New Roman"/>
        </w:rPr>
      </w:pPr>
      <w:r>
        <w:rPr>
          <w:rFonts w:ascii="Times New Roman" w:hAnsi="Times New Roman"/>
        </w:rPr>
        <w:t>The Subgroup 5A Principal Distribution Amount and the CZ Accrual Amount in the following order of priority:</w:t>
      </w:r>
    </w:p>
    <w:p>
      <w:pPr>
        <w:rPr>
          <w:rFonts w:ascii="Times New Roman" w:hAnsi="Times New Roman" w:cs="Times New Roman"/>
        </w:rPr>
      </w:pPr>
    </w:p>
    <w:p>
      <w:pPr>
        <w:pStyle w:val="5"/>
        <w:numPr>
          <w:ilvl w:val="0"/>
          <w:numId w:val="4"/>
        </w:numPr>
        <w:rPr>
          <w:rFonts w:ascii="Times New Roman" w:hAnsi="Times New Roman"/>
        </w:rPr>
      </w:pPr>
      <w:r>
        <w:rPr>
          <w:rFonts w:ascii="Times New Roman" w:hAnsi="Times New Roman"/>
        </w:rPr>
        <w:t>Concurrently, to CA and FC, pro rata, until reduced to their Aggregate Scheduled Principal Balance for that Distribution Date</w:t>
      </w:r>
    </w:p>
    <w:p>
      <w:pPr>
        <w:pStyle w:val="5"/>
        <w:numPr>
          <w:ilvl w:val="0"/>
          <w:numId w:val="4"/>
        </w:numPr>
        <w:rPr>
          <w:rFonts w:ascii="Times New Roman" w:hAnsi="Times New Roman"/>
        </w:rPr>
      </w:pPr>
      <w:r>
        <w:rPr>
          <w:rFonts w:ascii="Times New Roman" w:hAnsi="Times New Roman"/>
        </w:rPr>
        <w:t>To CZ, until retired</w:t>
      </w:r>
    </w:p>
    <w:p>
      <w:pPr>
        <w:pStyle w:val="5"/>
        <w:numPr>
          <w:ilvl w:val="0"/>
          <w:numId w:val="4"/>
        </w:numPr>
        <w:rPr>
          <w:rFonts w:ascii="Times New Roman" w:hAnsi="Times New Roman"/>
        </w:rPr>
      </w:pPr>
      <w:r>
        <w:rPr>
          <w:rFonts w:ascii="Times New Roman" w:hAnsi="Times New Roman"/>
        </w:rPr>
        <w:t>Concurrently, to CA and FC, pro rata, without regard to their Aggregate Scheduled Principal Balance, until retired</w:t>
      </w:r>
    </w:p>
    <w:p>
      <w:pPr>
        <w:rPr>
          <w:rFonts w:ascii="Times New Roman" w:hAnsi="Times New Roman" w:cs="Times New Roman"/>
          <w:b/>
        </w:rPr>
      </w:pPr>
    </w:p>
    <w:p>
      <w:pPr>
        <w:pStyle w:val="5"/>
        <w:numPr>
          <w:ilvl w:val="0"/>
          <w:numId w:val="3"/>
        </w:numPr>
        <w:spacing w:after="0" w:line="240" w:lineRule="auto"/>
        <w:rPr>
          <w:rFonts w:ascii="Times New Roman" w:hAnsi="Times New Roman"/>
        </w:rPr>
      </w:pPr>
      <w:r>
        <w:rPr>
          <w:rFonts w:ascii="Times New Roman" w:hAnsi="Times New Roman"/>
        </w:rPr>
        <w:t>The Subgroup 5B Principal Distribution Amount and the LZ Accrual Amount in the following order of priority:</w:t>
      </w:r>
    </w:p>
    <w:p>
      <w:pPr>
        <w:jc w:val="center"/>
        <w:rPr>
          <w:rFonts w:ascii="Times New Roman" w:hAnsi="Times New Roman" w:cs="Times New Roman"/>
          <w:b/>
        </w:rPr>
      </w:pPr>
    </w:p>
    <w:p>
      <w:pPr>
        <w:pStyle w:val="5"/>
        <w:numPr>
          <w:ilvl w:val="0"/>
          <w:numId w:val="5"/>
        </w:numPr>
        <w:spacing w:after="0"/>
        <w:rPr>
          <w:rFonts w:ascii="Times New Roman" w:hAnsi="Times New Roman"/>
          <w:sz w:val="24"/>
          <w:szCs w:val="24"/>
        </w:rPr>
      </w:pPr>
      <w:r>
        <w:rPr>
          <w:rFonts w:ascii="Times New Roman" w:hAnsi="Times New Roman"/>
          <w:sz w:val="24"/>
          <w:szCs w:val="24"/>
        </w:rPr>
        <w:t>To FL, PL and ZA, until reduced to their Aggregate Scheduled Principal Balance for that Distribution Date, concurrently, as follows:</w:t>
      </w:r>
    </w:p>
    <w:p>
      <w:pPr>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69.9999998859% to FL, until retired</w:t>
      </w:r>
    </w:p>
    <w:p>
      <w:pPr>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30.0000001141%, sequentially, to PL and ZA, in that order, until retired</w:t>
      </w:r>
    </w:p>
    <w:p>
      <w:pPr>
        <w:pStyle w:val="5"/>
        <w:numPr>
          <w:ilvl w:val="0"/>
          <w:numId w:val="5"/>
        </w:numPr>
        <w:spacing w:after="0"/>
        <w:rPr>
          <w:rFonts w:ascii="Times New Roman" w:hAnsi="Times New Roman"/>
          <w:sz w:val="24"/>
          <w:szCs w:val="24"/>
        </w:rPr>
      </w:pPr>
      <w:r>
        <w:rPr>
          <w:rFonts w:ascii="Times New Roman" w:hAnsi="Times New Roman"/>
          <w:sz w:val="24"/>
          <w:szCs w:val="24"/>
        </w:rPr>
        <w:t>To LZ, until retired</w:t>
      </w:r>
    </w:p>
    <w:p>
      <w:pPr>
        <w:pStyle w:val="5"/>
        <w:numPr>
          <w:ilvl w:val="0"/>
          <w:numId w:val="5"/>
        </w:numPr>
        <w:spacing w:after="0"/>
        <w:rPr>
          <w:rFonts w:ascii="Times New Roman" w:hAnsi="Times New Roman"/>
          <w:sz w:val="24"/>
          <w:szCs w:val="24"/>
        </w:rPr>
      </w:pPr>
      <w:r>
        <w:rPr>
          <w:rFonts w:ascii="Times New Roman" w:hAnsi="Times New Roman" w:eastAsia="Times New Roman"/>
          <w:sz w:val="24"/>
          <w:szCs w:val="24"/>
        </w:rPr>
        <w:t xml:space="preserve">To </w:t>
      </w:r>
      <w:r>
        <w:rPr>
          <w:rFonts w:ascii="Times New Roman" w:hAnsi="Times New Roman"/>
          <w:sz w:val="24"/>
          <w:szCs w:val="24"/>
        </w:rPr>
        <w:t>FL, PL and ZA</w:t>
      </w:r>
      <w:r>
        <w:rPr>
          <w:rFonts w:ascii="Times New Roman" w:hAnsi="Times New Roman" w:eastAsia="Times New Roman"/>
          <w:sz w:val="24"/>
          <w:szCs w:val="24"/>
        </w:rPr>
        <w:t xml:space="preserve">, in the same manner and priority as step 1. above, but </w:t>
      </w:r>
      <w:r>
        <w:rPr>
          <w:rFonts w:ascii="Times New Roman" w:hAnsi="Times New Roman"/>
          <w:sz w:val="24"/>
          <w:szCs w:val="24"/>
        </w:rPr>
        <w:t>without regard to their Aggregate Scheduled Principal Balance, until retired</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6</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rPr>
        <w:t>The Group 6 Principal Distribution Amount, the DZ Accrual Amount and the ZD Accrual Amount will be allocated as follows:</w:t>
      </w:r>
    </w:p>
    <w:p>
      <w:pPr>
        <w:rPr>
          <w:rFonts w:ascii="Times New Roman" w:hAnsi="Times New Roman" w:cs="Times New Roman"/>
          <w:b/>
        </w:rPr>
      </w:pPr>
    </w:p>
    <w:p>
      <w:pPr>
        <w:pStyle w:val="5"/>
        <w:numPr>
          <w:ilvl w:val="0"/>
          <w:numId w:val="3"/>
        </w:numPr>
        <w:spacing w:after="0"/>
        <w:rPr>
          <w:rFonts w:ascii="Times New Roman" w:hAnsi="Times New Roman"/>
        </w:rPr>
      </w:pPr>
      <w:r>
        <w:rPr>
          <w:rFonts w:ascii="Times New Roman" w:hAnsi="Times New Roman"/>
        </w:rPr>
        <w:t>The ZD Accrual Amount, sequentially, to DA and ZD, in that order, until retired</w:t>
      </w:r>
    </w:p>
    <w:p>
      <w:pPr>
        <w:pStyle w:val="5"/>
        <w:spacing w:after="0"/>
        <w:rPr>
          <w:rFonts w:ascii="Times New Roman" w:hAnsi="Times New Roman"/>
        </w:rPr>
      </w:pPr>
    </w:p>
    <w:p>
      <w:pPr>
        <w:pStyle w:val="5"/>
        <w:numPr>
          <w:ilvl w:val="0"/>
          <w:numId w:val="3"/>
        </w:numPr>
        <w:spacing w:after="0"/>
        <w:rPr>
          <w:rFonts w:ascii="Times New Roman" w:hAnsi="Times New Roman"/>
        </w:rPr>
      </w:pPr>
      <w:r>
        <w:rPr>
          <w:rFonts w:ascii="Times New Roman" w:hAnsi="Times New Roman"/>
        </w:rPr>
        <w:t>The Group 6 Principal Distribution Amount and the DZ Accrual Amount in the following order of priority:</w:t>
      </w:r>
    </w:p>
    <w:p>
      <w:pPr>
        <w:pStyle w:val="5"/>
        <w:spacing w:after="0"/>
        <w:ind w:left="0"/>
        <w:rPr>
          <w:rFonts w:ascii="Times New Roman" w:hAnsi="Times New Roman"/>
        </w:rPr>
      </w:pPr>
    </w:p>
    <w:p>
      <w:pPr>
        <w:pStyle w:val="5"/>
        <w:numPr>
          <w:ilvl w:val="0"/>
          <w:numId w:val="6"/>
        </w:numPr>
        <w:spacing w:after="0"/>
        <w:rPr>
          <w:rFonts w:ascii="Times New Roman" w:hAnsi="Times New Roman"/>
        </w:rPr>
      </w:pPr>
      <w:r>
        <w:rPr>
          <w:rFonts w:ascii="Times New Roman" w:hAnsi="Times New Roman"/>
        </w:rPr>
        <w:t>Sequentially, to DA and ZD, in that order, until reduced to their Aggregate Scheduled Principal Balance for that Distribution Date</w:t>
      </w:r>
    </w:p>
    <w:p>
      <w:pPr>
        <w:pStyle w:val="5"/>
        <w:numPr>
          <w:ilvl w:val="0"/>
          <w:numId w:val="6"/>
        </w:numPr>
        <w:spacing w:after="0"/>
        <w:rPr>
          <w:rFonts w:ascii="Times New Roman" w:hAnsi="Times New Roman"/>
        </w:rPr>
      </w:pPr>
      <w:r>
        <w:rPr>
          <w:rFonts w:ascii="Times New Roman" w:hAnsi="Times New Roman"/>
        </w:rPr>
        <w:t>To DZ, until retired</w:t>
      </w:r>
    </w:p>
    <w:p>
      <w:pPr>
        <w:pStyle w:val="5"/>
        <w:numPr>
          <w:ilvl w:val="0"/>
          <w:numId w:val="6"/>
        </w:numPr>
        <w:spacing w:after="0"/>
        <w:rPr>
          <w:rFonts w:ascii="Times New Roman" w:hAnsi="Times New Roman"/>
        </w:rPr>
      </w:pPr>
      <w:r>
        <w:rPr>
          <w:rFonts w:ascii="Times New Roman" w:hAnsi="Times New Roman"/>
        </w:rPr>
        <w:t>Sequentially, to DA and ZD, in that order, without regard to their Aggregate Scheduled Principal Balance, until retired</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8</w:t>
      </w:r>
    </w:p>
    <w:p>
      <w:pPr>
        <w:rPr>
          <w:rFonts w:ascii="Times New Roman" w:hAnsi="Times New Roman" w:cs="Times New Roman"/>
        </w:rPr>
      </w:pPr>
      <w:r>
        <w:rPr>
          <w:rFonts w:ascii="Times New Roman" w:hAnsi="Times New Roman" w:cs="Times New Roman"/>
        </w:rPr>
        <w:t>The Group 8 Principal Distribution Amount will be allocated in the following order of priority:</w:t>
      </w:r>
    </w:p>
    <w:p>
      <w:pPr>
        <w:jc w:val="center"/>
        <w:rPr>
          <w:rFonts w:ascii="Times New Roman" w:hAnsi="Times New Roman" w:cs="Times New Roman"/>
          <w:b/>
        </w:rPr>
      </w:pPr>
    </w:p>
    <w:p>
      <w:pPr>
        <w:numPr>
          <w:ilvl w:val="0"/>
          <w:numId w:val="7"/>
        </w:numPr>
        <w:spacing w:after="0" w:line="240" w:lineRule="auto"/>
        <w:rPr>
          <w:rFonts w:ascii="Times New Roman" w:hAnsi="Times New Roman" w:cs="Times New Roman"/>
        </w:rPr>
      </w:pPr>
      <w:r>
        <w:rPr>
          <w:rFonts w:ascii="Times New Roman" w:hAnsi="Times New Roman" w:cs="Times New Roman"/>
        </w:rPr>
        <w:t>To A, up to $1 for that Distribution Date</w:t>
      </w:r>
    </w:p>
    <w:p>
      <w:pPr>
        <w:numPr>
          <w:ilvl w:val="0"/>
          <w:numId w:val="7"/>
        </w:num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To B, up to $404,000 for that Distribution Date</w:t>
      </w:r>
    </w:p>
    <w:p>
      <w:pPr>
        <w:numPr>
          <w:ilvl w:val="0"/>
          <w:numId w:val="7"/>
        </w:numPr>
        <w:spacing w:after="0" w:line="240" w:lineRule="auto"/>
        <w:rPr>
          <w:rFonts w:ascii="Times New Roman" w:hAnsi="Times New Roman" w:cs="Times New Roman"/>
        </w:rPr>
      </w:pPr>
      <w:r>
        <w:rPr>
          <w:rFonts w:ascii="Times New Roman" w:hAnsi="Times New Roman" w:cs="Times New Roman"/>
        </w:rPr>
        <w:t>To A, until retired</w:t>
      </w:r>
    </w:p>
    <w:p>
      <w:pPr>
        <w:numPr>
          <w:ilvl w:val="0"/>
          <w:numId w:val="7"/>
        </w:numPr>
        <w:spacing w:after="0" w:line="240" w:lineRule="auto"/>
        <w:rPr>
          <w:rFonts w:ascii="Times New Roman" w:hAnsi="Times New Roman" w:cs="Times New Roman"/>
        </w:rPr>
      </w:pPr>
      <w:r>
        <w:rPr>
          <w:rFonts w:ascii="Times New Roman" w:hAnsi="Times New Roman" w:cs="Times New Roman"/>
        </w:rPr>
        <w:t>To B, until retired</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9</w:t>
      </w:r>
    </w:p>
    <w:p>
      <w:pPr>
        <w:rPr>
          <w:rFonts w:ascii="Times New Roman" w:hAnsi="Times New Roman" w:cs="Times New Roman"/>
          <w:b/>
          <w:sz w:val="24"/>
          <w:szCs w:val="24"/>
        </w:rPr>
      </w:pPr>
    </w:p>
    <w:p>
      <w:pPr>
        <w:rPr>
          <w:rFonts w:ascii="Times New Roman" w:hAnsi="Times New Roman" w:cs="Times New Roman"/>
        </w:rPr>
      </w:pPr>
      <w:r>
        <w:rPr>
          <w:rFonts w:ascii="Times New Roman" w:hAnsi="Times New Roman" w:cs="Times New Roman"/>
        </w:rPr>
        <w:t>The Group 9 Principal Distribution Amount and the ZP Accrual Amount will be allocated in the following order of priority:</w:t>
      </w:r>
    </w:p>
    <w:p>
      <w:pPr>
        <w:rPr>
          <w:rFonts w:ascii="Times New Roman" w:hAnsi="Times New Roman" w:cs="Times New Roman"/>
        </w:rPr>
      </w:pPr>
    </w:p>
    <w:p>
      <w:pPr>
        <w:pStyle w:val="5"/>
        <w:numPr>
          <w:ilvl w:val="0"/>
          <w:numId w:val="8"/>
        </w:numPr>
        <w:spacing w:after="0"/>
        <w:rPr>
          <w:rFonts w:ascii="Times New Roman" w:hAnsi="Times New Roman"/>
        </w:rPr>
      </w:pPr>
      <w:r>
        <w:rPr>
          <w:rFonts w:ascii="Times New Roman" w:hAnsi="Times New Roman"/>
        </w:rPr>
        <w:t>To PA, until reduced to its Scheduled Principal Balance for that Distribution Date</w:t>
      </w:r>
    </w:p>
    <w:p>
      <w:pPr>
        <w:pStyle w:val="5"/>
        <w:numPr>
          <w:ilvl w:val="0"/>
          <w:numId w:val="8"/>
        </w:numPr>
        <w:spacing w:after="0"/>
        <w:rPr>
          <w:rFonts w:ascii="Times New Roman" w:hAnsi="Times New Roman"/>
        </w:rPr>
      </w:pPr>
      <w:r>
        <w:rPr>
          <w:rFonts w:ascii="Times New Roman" w:hAnsi="Times New Roman"/>
        </w:rPr>
        <w:t>To ZP, until retired</w:t>
      </w:r>
    </w:p>
    <w:p>
      <w:pPr>
        <w:pStyle w:val="5"/>
        <w:numPr>
          <w:ilvl w:val="0"/>
          <w:numId w:val="8"/>
        </w:numPr>
        <w:spacing w:after="0"/>
        <w:rPr>
          <w:rFonts w:ascii="Times New Roman" w:hAnsi="Times New Roman"/>
        </w:rPr>
      </w:pPr>
      <w:r>
        <w:rPr>
          <w:rFonts w:ascii="Times New Roman" w:hAnsi="Times New Roman"/>
        </w:rPr>
        <w:t>To PA, without regard to its Scheduled Principal Balance, until retired</w:t>
      </w:r>
    </w:p>
    <w:p>
      <w:pPr>
        <w:pStyle w:val="5"/>
        <w:spacing w:after="0"/>
        <w:ind w:left="1080"/>
        <w:rPr>
          <w:rFonts w:ascii="Times New Roman" w:hAnsi="Times New Roman"/>
        </w:rPr>
      </w:pP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10</w:t>
      </w:r>
    </w:p>
    <w:p>
      <w:pPr>
        <w:jc w:val="center"/>
        <w:rPr>
          <w:rFonts w:ascii="Times New Roman" w:hAnsi="Times New Roman" w:cs="Times New Roman"/>
          <w:b/>
        </w:rPr>
      </w:pPr>
    </w:p>
    <w:p>
      <w:pPr>
        <w:jc w:val="center"/>
        <w:rPr>
          <w:rFonts w:ascii="Times New Roman" w:hAnsi="Times New Roman" w:cs="Times New Roman"/>
          <w:b/>
        </w:rPr>
      </w:pPr>
    </w:p>
    <w:p>
      <w:pPr>
        <w:rPr>
          <w:rFonts w:ascii="Times New Roman" w:hAnsi="Times New Roman" w:cs="Times New Roman"/>
          <w:sz w:val="24"/>
          <w:szCs w:val="24"/>
          <w:u w:val="single"/>
        </w:rPr>
      </w:pPr>
      <w:r>
        <w:rPr>
          <w:rFonts w:ascii="Times New Roman" w:hAnsi="Times New Roman" w:cs="Times New Roman"/>
          <w:sz w:val="24"/>
          <w:szCs w:val="24"/>
        </w:rPr>
        <w:t>The Group 10 Principal Distribution Amount will be allocated to KO, until retired</w:t>
      </w:r>
      <w:r>
        <w:rPr>
          <w:rFonts w:ascii="Times New Roman" w:hAnsi="Times New Roman" w:cs="Times New Roman"/>
          <w:sz w:val="24"/>
          <w:szCs w:val="24"/>
          <w:u w:val="single"/>
        </w:rPr>
        <w:t xml:space="preserve"> </w:t>
      </w:r>
    </w:p>
    <w:p>
      <w:pPr>
        <w:jc w:val="center"/>
        <w:rPr>
          <w:rFonts w:ascii="Times New Roman" w:hAnsi="Times New Roman" w:cs="Times New Roman"/>
          <w:b/>
        </w:rPr>
      </w:pPr>
    </w:p>
    <w:p>
      <w:pPr>
        <w:jc w:val="cente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11</w:t>
      </w:r>
    </w:p>
    <w:p>
      <w:pPr>
        <w:jc w:val="center"/>
        <w:rPr>
          <w:rFonts w:ascii="Times New Roman" w:hAnsi="Times New Roman" w:cs="Times New Roman"/>
          <w:b/>
        </w:rPr>
      </w:pPr>
    </w:p>
    <w:p>
      <w:pPr>
        <w:jc w:val="center"/>
        <w:rPr>
          <w:rFonts w:ascii="Times New Roman" w:hAnsi="Times New Roman" w:cs="Times New Roman"/>
          <w:b/>
        </w:rPr>
      </w:pPr>
    </w:p>
    <w:p>
      <w:pPr>
        <w:rPr>
          <w:rFonts w:ascii="Times New Roman" w:hAnsi="Times New Roman" w:cs="Times New Roman"/>
        </w:rPr>
      </w:pPr>
      <w:r>
        <w:rPr>
          <w:rFonts w:ascii="Times New Roman" w:hAnsi="Times New Roman" w:cs="Times New Roman"/>
        </w:rPr>
        <w:t>The Group 11 Principal Distribution Amount and the BZ Accrual Amount will be allocated in the following order of priority:</w:t>
      </w:r>
    </w:p>
    <w:p>
      <w:pPr>
        <w:rPr>
          <w:rFonts w:ascii="Times New Roman" w:hAnsi="Times New Roman" w:cs="Times New Roman"/>
        </w:rPr>
      </w:pPr>
    </w:p>
    <w:p>
      <w:pPr>
        <w:pStyle w:val="5"/>
        <w:numPr>
          <w:ilvl w:val="0"/>
          <w:numId w:val="9"/>
        </w:numPr>
        <w:spacing w:after="0"/>
        <w:rPr>
          <w:rFonts w:ascii="Times New Roman" w:hAnsi="Times New Roman"/>
        </w:rPr>
      </w:pPr>
      <w:r>
        <w:rPr>
          <w:rFonts w:ascii="Times New Roman" w:hAnsi="Times New Roman"/>
        </w:rPr>
        <w:t>Sequentially, to BA and BY, in that order, until reduced to their Aggregate Scheduled Principal Balance for that Distribution Date</w:t>
      </w:r>
    </w:p>
    <w:p>
      <w:pPr>
        <w:pStyle w:val="5"/>
        <w:numPr>
          <w:ilvl w:val="0"/>
          <w:numId w:val="9"/>
        </w:numPr>
        <w:spacing w:after="0"/>
        <w:rPr>
          <w:rFonts w:ascii="Times New Roman" w:hAnsi="Times New Roman"/>
        </w:rPr>
      </w:pPr>
      <w:r>
        <w:rPr>
          <w:rFonts w:ascii="Times New Roman" w:hAnsi="Times New Roman"/>
        </w:rPr>
        <w:t>To BZ, until retired</w:t>
      </w:r>
    </w:p>
    <w:p>
      <w:pPr>
        <w:pStyle w:val="5"/>
        <w:numPr>
          <w:ilvl w:val="0"/>
          <w:numId w:val="9"/>
        </w:numPr>
        <w:spacing w:after="0"/>
        <w:rPr>
          <w:rFonts w:ascii="Times New Roman" w:hAnsi="Times New Roman"/>
        </w:rPr>
      </w:pPr>
      <w:r>
        <w:rPr>
          <w:rFonts w:ascii="Times New Roman" w:hAnsi="Times New Roman"/>
        </w:rPr>
        <w:t>Sequentially, to BA and BY, in that order, without regard to their Aggregate Scheduled Principal Balance, until retired</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12</w:t>
      </w:r>
    </w:p>
    <w:p>
      <w:pPr>
        <w:rPr>
          <w:rFonts w:ascii="Times New Roman" w:hAnsi="Times New Roman" w:cs="Times New Roman"/>
          <w:b/>
        </w:rPr>
      </w:pPr>
    </w:p>
    <w:p>
      <w:pPr>
        <w:rPr>
          <w:rFonts w:ascii="Times New Roman" w:hAnsi="Times New Roman" w:cs="Times New Roman"/>
          <w:sz w:val="24"/>
          <w:szCs w:val="24"/>
          <w:u w:val="single"/>
        </w:rPr>
      </w:pPr>
      <w:r>
        <w:rPr>
          <w:rFonts w:ascii="Times New Roman" w:hAnsi="Times New Roman" w:cs="Times New Roman"/>
          <w:sz w:val="24"/>
          <w:szCs w:val="24"/>
        </w:rPr>
        <w:t>The Group 12 Principal Distribution Amount will be allocated, concurrently, to KS and KT, pro rata, until retired</w:t>
      </w:r>
      <w:r>
        <w:rPr>
          <w:rFonts w:ascii="Times New Roman" w:hAnsi="Times New Roman" w:cs="Times New Roman"/>
          <w:sz w:val="24"/>
          <w:szCs w:val="24"/>
          <w:u w:val="single"/>
        </w:rPr>
        <w:t xml:space="preserve"> </w:t>
      </w:r>
    </w:p>
    <w:p>
      <w:pPr>
        <w:jc w:val="center"/>
        <w:rPr>
          <w:rFonts w:ascii="Times New Roman" w:hAnsi="Times New Roman" w:cs="Times New Roman"/>
          <w:b/>
          <w:sz w:val="24"/>
          <w:szCs w:val="24"/>
        </w:rPr>
      </w:pPr>
      <w:r>
        <w:rPr>
          <w:rFonts w:ascii="Times New Roman" w:hAnsi="Times New Roman" w:cs="Times New Roman"/>
          <w:b/>
          <w:sz w:val="24"/>
          <w:szCs w:val="24"/>
        </w:rPr>
        <w:t>SECURITY GROUP 13</w:t>
      </w:r>
    </w:p>
    <w:p>
      <w:pPr>
        <w:jc w:val="center"/>
        <w:rPr>
          <w:rFonts w:ascii="Times New Roman" w:hAnsi="Times New Roman" w:cs="Times New Roman"/>
          <w:b/>
        </w:rPr>
      </w:pPr>
    </w:p>
    <w:p>
      <w:pPr>
        <w:jc w:val="center"/>
        <w:rPr>
          <w:rFonts w:ascii="Times New Roman" w:hAnsi="Times New Roman" w:cs="Times New Roman"/>
          <w:b/>
        </w:rPr>
      </w:pPr>
    </w:p>
    <w:p>
      <w:pPr>
        <w:rPr>
          <w:rFonts w:ascii="Times New Roman" w:hAnsi="Times New Roman" w:cs="Times New Roman"/>
        </w:rPr>
      </w:pPr>
      <w:r>
        <w:rPr>
          <w:rFonts w:ascii="Times New Roman" w:hAnsi="Times New Roman" w:cs="Times New Roman"/>
        </w:rPr>
        <w:t>The Subgroup 13A Principal Distribution Amount, the Subgroup 13B Principal Distribution Amount and the MZ Accrual Amount will be allocated as follows:</w:t>
      </w:r>
    </w:p>
    <w:p>
      <w:pPr>
        <w:rPr>
          <w:rFonts w:ascii="Times New Roman" w:hAnsi="Times New Roman" w:cs="Times New Roman"/>
        </w:rPr>
      </w:pPr>
    </w:p>
    <w:p>
      <w:pPr>
        <w:pStyle w:val="5"/>
        <w:numPr>
          <w:ilvl w:val="0"/>
          <w:numId w:val="10"/>
        </w:numPr>
        <w:spacing w:after="0"/>
        <w:rPr>
          <w:rFonts w:ascii="Times New Roman" w:hAnsi="Times New Roman"/>
        </w:rPr>
      </w:pPr>
      <w:r>
        <w:rPr>
          <w:rFonts w:ascii="Times New Roman" w:hAnsi="Times New Roman"/>
        </w:rPr>
        <w:t>57.1428560323% of the Subgroup 13A Principal Distribution Amount and 57.1428565150% of the Subgroup 13B Principal Distribution Amount to BF, until retired</w:t>
      </w:r>
    </w:p>
    <w:p>
      <w:pPr>
        <w:pStyle w:val="5"/>
        <w:spacing w:after="0"/>
        <w:rPr>
          <w:rFonts w:ascii="Times New Roman" w:hAnsi="Times New Roman"/>
        </w:rPr>
      </w:pPr>
    </w:p>
    <w:p>
      <w:pPr>
        <w:pStyle w:val="5"/>
        <w:spacing w:after="0"/>
        <w:rPr>
          <w:rFonts w:ascii="Times New Roman" w:hAnsi="Times New Roman"/>
        </w:rPr>
      </w:pPr>
    </w:p>
    <w:p>
      <w:pPr>
        <w:pStyle w:val="5"/>
        <w:numPr>
          <w:ilvl w:val="0"/>
          <w:numId w:val="10"/>
        </w:numPr>
        <w:spacing w:after="0"/>
        <w:rPr>
          <w:rFonts w:ascii="Times New Roman" w:hAnsi="Times New Roman"/>
        </w:rPr>
      </w:pPr>
      <w:r>
        <w:rPr>
          <w:rFonts w:ascii="Times New Roman" w:hAnsi="Times New Roman"/>
        </w:rPr>
        <w:t>The remainder of the Subgroup 13A Principal Distribution Amount, the remainder of the Subgroup 13B Principal Distribution Amount and the MZ Accrual Amount will be allocated in the following order of priority:</w:t>
      </w:r>
    </w:p>
    <w:p>
      <w:pPr>
        <w:pStyle w:val="5"/>
        <w:spacing w:after="0"/>
        <w:rPr>
          <w:rFonts w:ascii="Times New Roman" w:hAnsi="Times New Roman"/>
        </w:rPr>
      </w:pPr>
    </w:p>
    <w:p>
      <w:pPr>
        <w:pStyle w:val="5"/>
        <w:numPr>
          <w:ilvl w:val="0"/>
          <w:numId w:val="11"/>
        </w:numPr>
        <w:spacing w:after="0"/>
        <w:rPr>
          <w:rFonts w:ascii="Times New Roman" w:hAnsi="Times New Roman"/>
        </w:rPr>
      </w:pPr>
      <w:r>
        <w:rPr>
          <w:rFonts w:ascii="Times New Roman" w:hAnsi="Times New Roman"/>
        </w:rPr>
        <w:t>To MA, until reduced to its Scheduled Principal Balance for that Distribution Date</w:t>
      </w:r>
    </w:p>
    <w:p>
      <w:pPr>
        <w:pStyle w:val="5"/>
        <w:numPr>
          <w:ilvl w:val="0"/>
          <w:numId w:val="11"/>
        </w:numPr>
        <w:spacing w:after="0"/>
        <w:rPr>
          <w:rFonts w:ascii="Times New Roman" w:hAnsi="Times New Roman"/>
        </w:rPr>
      </w:pPr>
      <w:r>
        <w:rPr>
          <w:rFonts w:ascii="Times New Roman" w:hAnsi="Times New Roman"/>
        </w:rPr>
        <w:t>To MZ, until retired</w:t>
      </w:r>
    </w:p>
    <w:p>
      <w:pPr>
        <w:pStyle w:val="5"/>
        <w:numPr>
          <w:ilvl w:val="0"/>
          <w:numId w:val="11"/>
        </w:numPr>
        <w:spacing w:after="0"/>
        <w:rPr>
          <w:rFonts w:ascii="Times New Roman" w:hAnsi="Times New Roman"/>
        </w:rPr>
      </w:pPr>
      <w:r>
        <w:rPr>
          <w:rFonts w:ascii="Times New Roman" w:hAnsi="Times New Roman"/>
        </w:rPr>
        <w:t>To MA, without regard to its Scheduled Principal Balance, until retired</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14</w:t>
      </w:r>
    </w:p>
    <w:p>
      <w:pPr>
        <w:jc w:val="center"/>
        <w:rPr>
          <w:rFonts w:ascii="Times New Roman" w:hAnsi="Times New Roman" w:cs="Times New Roman"/>
          <w:b/>
        </w:rPr>
      </w:pPr>
    </w:p>
    <w:p>
      <w:pPr>
        <w:rPr>
          <w:rFonts w:ascii="Times New Roman" w:hAnsi="Times New Roman" w:cs="Times New Roman"/>
          <w:sz w:val="24"/>
          <w:szCs w:val="24"/>
          <w:u w:val="single"/>
        </w:rPr>
      </w:pPr>
      <w:r>
        <w:rPr>
          <w:rFonts w:ascii="Times New Roman" w:hAnsi="Times New Roman" w:cs="Times New Roman"/>
          <w:sz w:val="24"/>
          <w:szCs w:val="24"/>
        </w:rPr>
        <w:t>The Group 14 Principal Distribution Amount will be allocated to FM, until retired</w:t>
      </w:r>
      <w:r>
        <w:rPr>
          <w:rFonts w:ascii="Times New Roman" w:hAnsi="Times New Roman" w:cs="Times New Roman"/>
          <w:sz w:val="24"/>
          <w:szCs w:val="24"/>
          <w:u w:val="single"/>
        </w:rPr>
        <w:t xml:space="preserve"> </w:t>
      </w:r>
    </w:p>
    <w:p>
      <w:pPr>
        <w:jc w:val="center"/>
        <w:rPr>
          <w:rFonts w:ascii="Times New Roman" w:hAnsi="Times New Roman" w:cs="Times New Roman"/>
          <w:b/>
        </w:rPr>
      </w:pPr>
    </w:p>
    <w:p>
      <w:pPr>
        <w:rPr>
          <w:rFonts w:ascii="Times New Roman" w:hAnsi="Times New Roman" w:cs="Times New Roman"/>
          <w:b/>
        </w:rPr>
      </w:pPr>
      <w:r>
        <w:rPr>
          <w:rFonts w:ascii="Times New Roman" w:hAnsi="Times New Roman" w:cs="Times New Roman"/>
          <w:b/>
        </w:rPr>
        <w:br w:type="page"/>
      </w:r>
    </w:p>
    <w:p>
      <w:pPr>
        <w:jc w:val="cente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15</w:t>
      </w:r>
    </w:p>
    <w:p>
      <w:pPr>
        <w:jc w:val="cente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The Group 15 Principal Distribution Amount and the KZ Accrual Amount will be allocated as follows:</w:t>
      </w:r>
    </w:p>
    <w:p>
      <w:pPr>
        <w:jc w:val="center"/>
        <w:rPr>
          <w:rFonts w:ascii="Times New Roman" w:hAnsi="Times New Roman" w:cs="Times New Roman"/>
          <w:b/>
        </w:rPr>
      </w:pPr>
    </w:p>
    <w:p>
      <w:pPr>
        <w:pStyle w:val="5"/>
        <w:numPr>
          <w:ilvl w:val="0"/>
          <w:numId w:val="3"/>
        </w:numPr>
        <w:spacing w:after="0"/>
        <w:rPr>
          <w:rFonts w:ascii="Times New Roman" w:hAnsi="Times New Roman"/>
        </w:rPr>
      </w:pPr>
      <w:r>
        <w:rPr>
          <w:rFonts w:ascii="Times New Roman" w:hAnsi="Times New Roman"/>
        </w:rPr>
        <w:t>The KZ Accrual Amount in the following order of priority:</w:t>
      </w:r>
    </w:p>
    <w:p>
      <w:pPr>
        <w:pStyle w:val="5"/>
        <w:spacing w:after="0"/>
        <w:rPr>
          <w:rFonts w:ascii="Times New Roman" w:hAnsi="Times New Roman"/>
        </w:rPr>
      </w:pPr>
    </w:p>
    <w:p>
      <w:pPr>
        <w:pStyle w:val="5"/>
        <w:numPr>
          <w:ilvl w:val="0"/>
          <w:numId w:val="12"/>
        </w:numPr>
        <w:spacing w:after="0"/>
        <w:rPr>
          <w:rFonts w:ascii="Times New Roman" w:hAnsi="Times New Roman"/>
        </w:rPr>
      </w:pPr>
      <w:r>
        <w:rPr>
          <w:rFonts w:ascii="Times New Roman" w:hAnsi="Times New Roman"/>
        </w:rPr>
        <w:t>To AB, FJ and KA, until reduced to their Aggregate Scheduled Principal Balance for that Distribution Date, concurrently, as follows:</w:t>
      </w:r>
    </w:p>
    <w:p>
      <w:pPr>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33.3333327677% to FJ, until retired</w:t>
      </w:r>
    </w:p>
    <w:p>
      <w:pPr>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66.6666672323%, sequentially, to KA and AB, in that order, until retired</w:t>
      </w:r>
    </w:p>
    <w:p>
      <w:pPr>
        <w:pStyle w:val="5"/>
        <w:numPr>
          <w:ilvl w:val="0"/>
          <w:numId w:val="12"/>
        </w:numPr>
        <w:spacing w:after="0"/>
        <w:rPr>
          <w:rFonts w:ascii="Times New Roman" w:hAnsi="Times New Roman"/>
        </w:rPr>
      </w:pPr>
      <w:r>
        <w:rPr>
          <w:rFonts w:ascii="Times New Roman" w:hAnsi="Times New Roman"/>
        </w:rPr>
        <w:t>To KZ, until retired</w:t>
      </w:r>
    </w:p>
    <w:p>
      <w:pPr>
        <w:pStyle w:val="5"/>
        <w:spacing w:after="0"/>
        <w:ind w:left="0"/>
        <w:rPr>
          <w:rFonts w:ascii="Times New Roman" w:hAnsi="Times New Roman"/>
        </w:rPr>
      </w:pPr>
    </w:p>
    <w:p>
      <w:pPr>
        <w:rPr>
          <w:rFonts w:ascii="Times New Roman" w:hAnsi="Times New Roman" w:cs="Times New Roman"/>
          <w:b/>
        </w:rPr>
      </w:pPr>
    </w:p>
    <w:p>
      <w:pPr>
        <w:pStyle w:val="5"/>
        <w:numPr>
          <w:ilvl w:val="0"/>
          <w:numId w:val="13"/>
        </w:numPr>
        <w:spacing w:after="0" w:line="240" w:lineRule="auto"/>
        <w:rPr>
          <w:rFonts w:ascii="Times New Roman" w:hAnsi="Times New Roman"/>
        </w:rPr>
      </w:pPr>
      <w:r>
        <w:rPr>
          <w:rFonts w:ascii="Times New Roman" w:hAnsi="Times New Roman"/>
        </w:rPr>
        <w:t>The Group 15 Principal Distribution Amount, concurrently, as follows:</w:t>
      </w:r>
    </w:p>
    <w:p>
      <w:pPr>
        <w:rPr>
          <w:rFonts w:ascii="Times New Roman" w:hAnsi="Times New Roman" w:cs="Times New Roman"/>
        </w:rPr>
      </w:pPr>
    </w:p>
    <w:p>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33.3333333333%</w:t>
      </w:r>
      <w:r>
        <w:rPr>
          <w:rFonts w:ascii="Times New Roman" w:hAnsi="Times New Roman" w:cs="Times New Roman"/>
        </w:rPr>
        <w:t xml:space="preserve"> to FN, until retired </w:t>
      </w:r>
    </w:p>
    <w:p>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66.6666666667%</w:t>
      </w:r>
      <w:r>
        <w:rPr>
          <w:rFonts w:ascii="Times New Roman" w:hAnsi="Times New Roman" w:cs="Times New Roman"/>
        </w:rPr>
        <w:t xml:space="preserve"> in the following order of priority:</w:t>
      </w:r>
    </w:p>
    <w:p>
      <w:pPr>
        <w:pStyle w:val="5"/>
        <w:numPr>
          <w:ilvl w:val="1"/>
          <w:numId w:val="14"/>
        </w:numPr>
        <w:spacing w:after="0"/>
        <w:rPr>
          <w:rFonts w:ascii="Times New Roman" w:hAnsi="Times New Roman"/>
        </w:rPr>
      </w:pPr>
      <w:r>
        <w:rPr>
          <w:rFonts w:ascii="Times New Roman" w:hAnsi="Times New Roman"/>
        </w:rPr>
        <w:t>To AB, FJ and KA, until reduced to their Aggregate Scheduled Principal Balance for that Distribution Date, concurrently, as follows:</w:t>
      </w:r>
    </w:p>
    <w:p>
      <w:pPr>
        <w:numPr>
          <w:ilvl w:val="2"/>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33.3333327677% to FJ, until retired</w:t>
      </w:r>
    </w:p>
    <w:p>
      <w:pPr>
        <w:numPr>
          <w:ilvl w:val="2"/>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66.6666672323%, sequentially, to KA and AB, in that order, until retired</w:t>
      </w:r>
    </w:p>
    <w:p>
      <w:pPr>
        <w:pStyle w:val="5"/>
        <w:numPr>
          <w:ilvl w:val="1"/>
          <w:numId w:val="14"/>
        </w:numPr>
        <w:spacing w:after="0"/>
        <w:rPr>
          <w:rFonts w:ascii="Times New Roman" w:hAnsi="Times New Roman"/>
        </w:rPr>
      </w:pPr>
      <w:r>
        <w:rPr>
          <w:rFonts w:ascii="Times New Roman" w:hAnsi="Times New Roman"/>
        </w:rPr>
        <w:t>To KZ, until retired</w:t>
      </w:r>
    </w:p>
    <w:p>
      <w:pPr>
        <w:pStyle w:val="5"/>
        <w:numPr>
          <w:ilvl w:val="1"/>
          <w:numId w:val="14"/>
        </w:numPr>
        <w:spacing w:after="0"/>
        <w:rPr>
          <w:rFonts w:ascii="Times New Roman" w:hAnsi="Times New Roman"/>
        </w:rPr>
      </w:pPr>
      <w:r>
        <w:rPr>
          <w:rFonts w:ascii="Times New Roman" w:hAnsi="Times New Roman"/>
        </w:rPr>
        <w:t>To AB, FJ and KA, in the same manner and priority as step 2.a., but without regard to their Aggregate Scheduled Principal Balance, until retired</w:t>
      </w:r>
    </w:p>
    <w:p>
      <w:pPr>
        <w:jc w:val="center"/>
        <w:rPr>
          <w:rFonts w:ascii="Times New Roman" w:hAnsi="Times New Roman" w:cs="Times New Roman"/>
          <w:b/>
        </w:rPr>
      </w:pPr>
    </w:p>
    <w:p>
      <w:pPr>
        <w:jc w:val="cente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16</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rPr>
        <w:t>The Subgroup 16A Principal Distribution Amount, the Subgroup 16B Principal Distribution Amount and the AZ Accrual Amount will be allocated as follows:</w:t>
      </w:r>
    </w:p>
    <w:p>
      <w:pPr>
        <w:rPr>
          <w:rFonts w:ascii="Times New Roman" w:hAnsi="Times New Roman" w:cs="Times New Roman"/>
        </w:rPr>
      </w:pPr>
    </w:p>
    <w:p>
      <w:pPr>
        <w:pStyle w:val="5"/>
        <w:numPr>
          <w:ilvl w:val="0"/>
          <w:numId w:val="10"/>
        </w:numPr>
        <w:spacing w:after="0"/>
        <w:rPr>
          <w:rFonts w:ascii="Times New Roman" w:hAnsi="Times New Roman"/>
        </w:rPr>
      </w:pPr>
      <w:r>
        <w:rPr>
          <w:rFonts w:ascii="Times New Roman" w:hAnsi="Times New Roman"/>
        </w:rPr>
        <w:t>50% of the Subgroup 16A Principal Distribution Amount and 50% of the Subgroup 16B Principal Distribution Amount to FB, until retired</w:t>
      </w:r>
    </w:p>
    <w:p>
      <w:pPr>
        <w:pStyle w:val="5"/>
        <w:spacing w:after="0"/>
        <w:rPr>
          <w:rFonts w:ascii="Times New Roman" w:hAnsi="Times New Roman"/>
        </w:rPr>
      </w:pPr>
    </w:p>
    <w:p>
      <w:pPr>
        <w:pStyle w:val="5"/>
        <w:spacing w:after="0"/>
        <w:rPr>
          <w:rFonts w:ascii="Times New Roman" w:hAnsi="Times New Roman"/>
        </w:rPr>
      </w:pPr>
    </w:p>
    <w:p>
      <w:pPr>
        <w:pStyle w:val="5"/>
        <w:numPr>
          <w:ilvl w:val="0"/>
          <w:numId w:val="10"/>
        </w:numPr>
        <w:spacing w:after="0"/>
        <w:rPr>
          <w:rFonts w:ascii="Times New Roman" w:hAnsi="Times New Roman"/>
        </w:rPr>
      </w:pPr>
      <w:r>
        <w:rPr>
          <w:rFonts w:ascii="Times New Roman" w:hAnsi="Times New Roman"/>
        </w:rPr>
        <w:t>The remainder of the Subgroup 16A Principal Distribution Amount, the remainder of the Subgroup 16B Principal Distribution Amount and the AZ Accrual Amount will be allocated in the following order of priority:</w:t>
      </w:r>
    </w:p>
    <w:p>
      <w:pPr>
        <w:pStyle w:val="5"/>
        <w:spacing w:after="0"/>
        <w:rPr>
          <w:rFonts w:ascii="Times New Roman" w:hAnsi="Times New Roman"/>
        </w:rPr>
      </w:pPr>
    </w:p>
    <w:p>
      <w:pPr>
        <w:jc w:val="center"/>
        <w:rPr>
          <w:rFonts w:ascii="Times New Roman" w:hAnsi="Times New Roman" w:cs="Times New Roman"/>
          <w:b/>
        </w:rPr>
      </w:pPr>
    </w:p>
    <w:p>
      <w:pPr>
        <w:pStyle w:val="5"/>
        <w:numPr>
          <w:ilvl w:val="0"/>
          <w:numId w:val="15"/>
        </w:numPr>
        <w:spacing w:after="0"/>
        <w:rPr>
          <w:rFonts w:ascii="Times New Roman" w:hAnsi="Times New Roman"/>
          <w:sz w:val="24"/>
          <w:szCs w:val="24"/>
        </w:rPr>
      </w:pPr>
      <w:r>
        <w:rPr>
          <w:rFonts w:ascii="Times New Roman" w:hAnsi="Times New Roman"/>
          <w:sz w:val="24"/>
          <w:szCs w:val="24"/>
        </w:rPr>
        <w:t>To AC, DB and DF, until reduced to their Aggregate Scheduled Principal Balance for that Distribution Date, concurrently, as follows:</w:t>
      </w:r>
    </w:p>
    <w:p>
      <w:pPr>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33.3333333333% to DF, until retired</w:t>
      </w:r>
    </w:p>
    <w:p>
      <w:pPr>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66.6666666667%, sequentially, to DB and AC, in that order, until retired</w:t>
      </w:r>
    </w:p>
    <w:p>
      <w:pPr>
        <w:pStyle w:val="5"/>
        <w:numPr>
          <w:ilvl w:val="0"/>
          <w:numId w:val="15"/>
        </w:numPr>
        <w:spacing w:after="0"/>
        <w:rPr>
          <w:rFonts w:ascii="Times New Roman" w:hAnsi="Times New Roman"/>
          <w:sz w:val="24"/>
          <w:szCs w:val="24"/>
        </w:rPr>
      </w:pPr>
      <w:r>
        <w:rPr>
          <w:rFonts w:ascii="Times New Roman" w:hAnsi="Times New Roman"/>
          <w:sz w:val="24"/>
          <w:szCs w:val="24"/>
        </w:rPr>
        <w:t>To AZ, until retired</w:t>
      </w:r>
    </w:p>
    <w:p>
      <w:pPr>
        <w:pStyle w:val="5"/>
        <w:numPr>
          <w:ilvl w:val="0"/>
          <w:numId w:val="15"/>
        </w:numPr>
        <w:spacing w:after="0"/>
        <w:rPr>
          <w:rFonts w:ascii="Times New Roman" w:hAnsi="Times New Roman"/>
          <w:sz w:val="24"/>
          <w:szCs w:val="24"/>
        </w:rPr>
      </w:pPr>
      <w:r>
        <w:rPr>
          <w:rFonts w:ascii="Times New Roman" w:hAnsi="Times New Roman" w:eastAsia="Times New Roman"/>
          <w:sz w:val="24"/>
          <w:szCs w:val="24"/>
        </w:rPr>
        <w:t xml:space="preserve">To </w:t>
      </w:r>
      <w:r>
        <w:rPr>
          <w:rFonts w:ascii="Times New Roman" w:hAnsi="Times New Roman"/>
          <w:sz w:val="24"/>
          <w:szCs w:val="24"/>
        </w:rPr>
        <w:t>AC, DB and DF</w:t>
      </w:r>
      <w:r>
        <w:rPr>
          <w:rFonts w:ascii="Times New Roman" w:hAnsi="Times New Roman" w:eastAsia="Times New Roman"/>
          <w:sz w:val="24"/>
          <w:szCs w:val="24"/>
        </w:rPr>
        <w:t xml:space="preserve">, in the same manner and priority as step 1. above, but </w:t>
      </w:r>
      <w:r>
        <w:rPr>
          <w:rFonts w:ascii="Times New Roman" w:hAnsi="Times New Roman"/>
          <w:sz w:val="24"/>
          <w:szCs w:val="24"/>
        </w:rPr>
        <w:t>without regard to their Aggregate Scheduled Principal Balance, until retired</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17</w:t>
      </w:r>
    </w:p>
    <w:p>
      <w:pPr>
        <w:jc w:val="center"/>
        <w:rPr>
          <w:rFonts w:ascii="Times New Roman" w:hAnsi="Times New Roman" w:cs="Times New Roman"/>
          <w:b/>
        </w:rPr>
      </w:pPr>
    </w:p>
    <w:p>
      <w:pPr>
        <w:rPr>
          <w:rFonts w:ascii="Times New Roman" w:hAnsi="Times New Roman" w:cs="Times New Roman"/>
          <w:sz w:val="24"/>
          <w:szCs w:val="24"/>
          <w:u w:val="single"/>
        </w:rPr>
      </w:pPr>
      <w:r>
        <w:rPr>
          <w:rFonts w:ascii="Times New Roman" w:hAnsi="Times New Roman" w:cs="Times New Roman"/>
          <w:sz w:val="24"/>
          <w:szCs w:val="24"/>
        </w:rPr>
        <w:t>The Group 17 Principal Distribution Amount will be allocated to HA, until retired</w:t>
      </w:r>
      <w:r>
        <w:rPr>
          <w:rFonts w:ascii="Times New Roman" w:hAnsi="Times New Roman" w:cs="Times New Roman"/>
          <w:sz w:val="24"/>
          <w:szCs w:val="24"/>
          <w:u w:val="single"/>
        </w:rPr>
        <w:t xml:space="preserve"> </w:t>
      </w:r>
    </w:p>
    <w:p>
      <w:pP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SECURITY GROUP 18</w:t>
      </w:r>
    </w:p>
    <w:p>
      <w:pPr>
        <w:jc w:val="center"/>
        <w:rPr>
          <w:rFonts w:ascii="Times New Roman" w:hAnsi="Times New Roman" w:cs="Times New Roman"/>
          <w:b/>
        </w:rPr>
      </w:pPr>
    </w:p>
    <w:p>
      <w:pPr>
        <w:rPr>
          <w:rFonts w:ascii="Times New Roman" w:hAnsi="Times New Roman" w:cs="Times New Roman"/>
          <w:sz w:val="24"/>
          <w:szCs w:val="24"/>
          <w:u w:val="single"/>
        </w:rPr>
      </w:pPr>
      <w:r>
        <w:rPr>
          <w:rFonts w:ascii="Times New Roman" w:hAnsi="Times New Roman" w:cs="Times New Roman"/>
          <w:sz w:val="24"/>
          <w:szCs w:val="24"/>
        </w:rPr>
        <w:t>The Group 18 Principal Distribution Amount will be allocated to G, until retired</w:t>
      </w:r>
      <w:r>
        <w:rPr>
          <w:rFonts w:ascii="Times New Roman" w:hAnsi="Times New Roman" w:cs="Times New Roman"/>
          <w:sz w:val="24"/>
          <w:szCs w:val="24"/>
          <w:u w:val="single"/>
        </w:rPr>
        <w:t xml:space="preserve"> </w:t>
      </w:r>
    </w:p>
    <w:p>
      <w:pPr>
        <w:jc w:val="center"/>
        <w:rPr>
          <w:rFonts w:ascii="Times New Roman" w:hAnsi="Times New Roman" w:cs="Times New Roman"/>
          <w:b/>
        </w:rPr>
      </w:pPr>
    </w:p>
    <w:p>
      <w:pPr>
        <w:pStyle w:val="5"/>
        <w:ind w:left="1440"/>
        <w:rPr>
          <w:rFonts w:ascii="Times New Roman" w:hAnsi="Times New Roman"/>
          <w:u w:val="single"/>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36"/>
          <w:szCs w:val="36"/>
        </w:rPr>
        <w:t>Ginnie Mae 2019-123</w:t>
      </w:r>
    </w:p>
    <w:p>
      <w:pPr>
        <w:autoSpaceDE w:val="0"/>
        <w:autoSpaceDN w:val="0"/>
        <w:adjustRightInd w:val="0"/>
        <w:spacing w:after="0" w:line="240" w:lineRule="auto"/>
        <w:ind w:left="78"/>
        <w:rPr>
          <w:rFonts w:ascii="Times New Roman" w:hAnsi="Times New Roman" w:cs="Times New Roman"/>
          <w:sz w:val="28"/>
          <w:szCs w:val="28"/>
        </w:rPr>
      </w:pPr>
      <w:r>
        <w:rPr>
          <w:rFonts w:ascii="Times New Roman" w:hAnsi="Times New Roman" w:cs="Times New Roman"/>
          <w:sz w:val="28"/>
          <w:szCs w:val="28"/>
        </w:rPr>
        <w:t>Structuring Ranges</w:t>
      </w:r>
    </w:p>
    <w:tbl>
      <w:tblPr>
        <w:tblStyle w:val="3"/>
        <w:tblW w:w="0" w:type="auto"/>
        <w:tblInd w:w="-38" w:type="dxa"/>
        <w:tblLayout w:type="fixed"/>
        <w:tblCellMar>
          <w:top w:w="0" w:type="dxa"/>
          <w:left w:w="108" w:type="dxa"/>
          <w:bottom w:w="0" w:type="dxa"/>
          <w:right w:w="108" w:type="dxa"/>
        </w:tblCellMar>
      </w:tblPr>
      <w:tblGrid>
        <w:gridCol w:w="883"/>
        <w:gridCol w:w="3077"/>
        <w:gridCol w:w="750"/>
        <w:gridCol w:w="2806"/>
      </w:tblGrid>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Group</w:t>
            </w:r>
          </w:p>
        </w:tc>
        <w:tc>
          <w:tcPr>
            <w:tcW w:w="307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Classes</w:t>
            </w:r>
          </w:p>
        </w:tc>
        <w:tc>
          <w:tcPr>
            <w:tcW w:w="75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Type</w:t>
            </w:r>
          </w:p>
        </w:tc>
        <w:tc>
          <w:tcPr>
            <w:tcW w:w="280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Structuring Ranges</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LA and LY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130% PSA through 300%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AF, PB and PY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125% PSA through 225%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CA and FC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 PSA through 400%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 PL and ZA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 PSA through 450%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DA and ZD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 PSA through 300%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186% PSA through 300%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BA and BY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150% PSA through 250%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MA</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195% PSA through 300%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AB, FJ and KA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220% PSA through 325% PSA</w:t>
            </w:r>
          </w:p>
        </w:tc>
      </w:tr>
      <w:tr>
        <w:tblPrEx>
          <w:tblCellMar>
            <w:top w:w="0" w:type="dxa"/>
            <w:left w:w="108" w:type="dxa"/>
            <w:bottom w:w="0" w:type="dxa"/>
            <w:right w:w="108" w:type="dxa"/>
          </w:tblCellMar>
        </w:tblPrEx>
        <w:trPr>
          <w:trHeight w:val="307" w:hRule="atLeast"/>
        </w:trPr>
        <w:tc>
          <w:tcPr>
            <w:tcW w:w="883"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3077"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AC, DB and DF (in the aggregate)</w:t>
            </w:r>
          </w:p>
        </w:tc>
        <w:tc>
          <w:tcPr>
            <w:tcW w:w="750"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w:t>
            </w:r>
          </w:p>
        </w:tc>
        <w:tc>
          <w:tcPr>
            <w:tcW w:w="2806" w:type="dxa"/>
            <w:tcBorders>
              <w:top w:val="single" w:color="auto" w:sz="6" w:space="0"/>
              <w:left w:val="single" w:color="auto" w:sz="6" w:space="0"/>
              <w:bottom w:val="single" w:color="auto" w:sz="6" w:space="0"/>
              <w:right w:val="single" w:color="auto" w:sz="6" w:space="0"/>
            </w:tcBorders>
            <w:shd w:val="solid" w:color="FFFFFF" w:fill="auto"/>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313% PSA through 450% PSA</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pgSz w:w="12240" w:h="15840"/>
          <w:pgMar w:top="720" w:right="720" w:bottom="720" w:left="720" w:header="720" w:footer="720" w:gutter="0"/>
          <w:cols w:space="720" w:num="1"/>
          <w:docGrid w:linePitch="360" w:charSpace="0"/>
        </w:sectPr>
      </w:pPr>
    </w:p>
    <w:p>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36"/>
          <w:szCs w:val="36"/>
        </w:rPr>
        <w:t>Decrement Tables</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tbl>
      <w:tblPr>
        <w:tblStyle w:val="3"/>
        <w:tblW w:w="0" w:type="auto"/>
        <w:tblInd w:w="-38" w:type="dxa"/>
        <w:tblLayout w:type="fixed"/>
        <w:tblCellMar>
          <w:top w:w="0" w:type="dxa"/>
          <w:left w:w="108" w:type="dxa"/>
          <w:bottom w:w="0" w:type="dxa"/>
          <w:right w:w="108" w:type="dxa"/>
        </w:tblCellMar>
      </w:tblPr>
      <w:tblGrid>
        <w:gridCol w:w="1282"/>
        <w:gridCol w:w="1291"/>
        <w:gridCol w:w="1291"/>
        <w:gridCol w:w="1291"/>
        <w:gridCol w:w="1440"/>
        <w:gridCol w:w="1440"/>
      </w:tblGrid>
      <w:tr>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Group</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Scenario I</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Scenario II</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Scenario III</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Scenario IV</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Scenario V</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(360/5.5)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(360/5.0)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(360/5.0)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(E)</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(360/6.5)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330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(360/5.0)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(E*)</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(360/4.5)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(E)</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186</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(E)</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(360/4.5)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(E)</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(360/6.5)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195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230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(E)</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(360/6.0)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325</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(360/6.5)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313</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r>
        <w:tblPrEx>
          <w:tblCellMar>
            <w:top w:w="0" w:type="dxa"/>
            <w:left w:w="108" w:type="dxa"/>
            <w:bottom w:w="0" w:type="dxa"/>
            <w:right w:w="108" w:type="dxa"/>
          </w:tblCellMar>
        </w:tblPrEx>
        <w:trPr>
          <w:trHeight w:val="259" w:hRule="atLeast"/>
        </w:trPr>
        <w:tc>
          <w:tcPr>
            <w:tcW w:w="12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 (360/4.5)</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4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400</w:t>
            </w:r>
          </w:p>
        </w:tc>
      </w:tr>
    </w:tbl>
    <w:p>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36"/>
          <w:szCs w:val="36"/>
        </w:rPr>
      </w:pPr>
    </w:p>
    <w:tbl>
      <w:tblPr>
        <w:tblStyle w:val="3"/>
        <w:tblW w:w="11426" w:type="dxa"/>
        <w:tblInd w:w="0" w:type="dxa"/>
        <w:tblLayout w:type="autofit"/>
        <w:tblCellMar>
          <w:top w:w="0" w:type="dxa"/>
          <w:left w:w="108" w:type="dxa"/>
          <w:bottom w:w="0" w:type="dxa"/>
          <w:right w:w="108" w:type="dxa"/>
        </w:tblCellMar>
      </w:tblPr>
      <w:tblGrid>
        <w:gridCol w:w="1710"/>
        <w:gridCol w:w="1229"/>
        <w:gridCol w:w="492"/>
        <w:gridCol w:w="425"/>
        <w:gridCol w:w="1296"/>
        <w:gridCol w:w="1456"/>
        <w:gridCol w:w="1456"/>
        <w:gridCol w:w="1133"/>
        <w:gridCol w:w="1133"/>
        <w:gridCol w:w="1096"/>
      </w:tblGrid>
      <w:tr>
        <w:tblPrEx>
          <w:tblCellMar>
            <w:top w:w="0" w:type="dxa"/>
            <w:left w:w="108" w:type="dxa"/>
            <w:bottom w:w="0" w:type="dxa"/>
            <w:right w:w="108" w:type="dxa"/>
          </w:tblCellMar>
        </w:tblPrEx>
        <w:trPr>
          <w:gridAfter w:val="7"/>
          <w:wAfter w:w="7995" w:type="dxa"/>
          <w:trHeight w:val="260" w:hRule="atLeast"/>
        </w:trPr>
        <w:tc>
          <w:tcPr>
            <w:tcW w:w="3431" w:type="dxa"/>
            <w:gridSpan w:val="3"/>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*CPR and TBD</w:t>
            </w:r>
          </w:p>
        </w:tc>
      </w:tr>
      <w:tr>
        <w:tblPrEx>
          <w:tblCellMar>
            <w:top w:w="0" w:type="dxa"/>
            <w:left w:w="108" w:type="dxa"/>
            <w:bottom w:w="0" w:type="dxa"/>
            <w:right w:w="108" w:type="dxa"/>
          </w:tblCellMar>
        </w:tblPrEx>
        <w:trPr>
          <w:gridAfter w:val="7"/>
          <w:wAfter w:w="7995" w:type="dxa"/>
          <w:trHeight w:val="260" w:hRule="atLeast"/>
        </w:trPr>
        <w:tc>
          <w:tcPr>
            <w:tcW w:w="3431" w:type="dxa"/>
            <w:gridSpan w:val="3"/>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**17A/B/C-CPN+1.5(17D/E-CPN+.5)</w:t>
            </w:r>
          </w:p>
        </w:tc>
      </w:tr>
      <w:tr>
        <w:tblPrEx>
          <w:tblCellMar>
            <w:top w:w="0" w:type="dxa"/>
            <w:left w:w="108" w:type="dxa"/>
            <w:bottom w:w="0" w:type="dxa"/>
            <w:right w:w="108" w:type="dxa"/>
          </w:tblCellMar>
        </w:tblPrEx>
        <w:trPr>
          <w:trHeight w:val="460" w:hRule="atLeast"/>
        </w:trPr>
        <w:tc>
          <w:tcPr>
            <w:tcW w:w="3856" w:type="dxa"/>
            <w:gridSpan w:val="4"/>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36"/>
                <w:szCs w:val="36"/>
              </w:rPr>
            </w:pPr>
            <w:r>
              <w:rPr>
                <w:rFonts w:ascii="Times New Roman" w:hAnsi="Times New Roman" w:eastAsia="Times New Roman" w:cs="Times New Roman"/>
                <w:sz w:val="36"/>
                <w:szCs w:val="36"/>
              </w:rPr>
              <w:t>Sensitivity Tables</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36"/>
                <w:szCs w:val="36"/>
              </w:rPr>
            </w:pP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Interest Type</w:t>
            </w:r>
          </w:p>
        </w:tc>
        <w:tc>
          <w:tcPr>
            <w:tcW w:w="1229"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Class Name</w:t>
            </w:r>
          </w:p>
        </w:tc>
        <w:tc>
          <w:tcPr>
            <w:tcW w:w="2213" w:type="dxa"/>
            <w:gridSpan w:val="3"/>
            <w:tcBorders>
              <w:top w:val="single" w:color="auto" w:sz="4" w:space="0"/>
              <w:left w:val="nil"/>
              <w:bottom w:val="single" w:color="auto" w:sz="4" w:space="0"/>
              <w:right w:val="nil"/>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Speeds</w:t>
            </w:r>
          </w:p>
        </w:tc>
        <w:tc>
          <w:tcPr>
            <w:tcW w:w="5178" w:type="dxa"/>
            <w:gridSpan w:val="4"/>
            <w:tcBorders>
              <w:top w:val="single" w:color="auto" w:sz="4" w:space="0"/>
              <w:left w:val="single" w:color="auto" w:sz="4" w:space="0"/>
              <w:bottom w:val="single" w:color="auto" w:sz="4" w:space="0"/>
              <w:right w:val="single" w:color="000000" w:sz="4" w:space="0"/>
            </w:tcBorders>
            <w:shd w:val="clear" w:color="auto" w:fill="auto"/>
            <w:vAlign w:val="bottom"/>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Index Levels</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w:t>
            </w:r>
          </w:p>
        </w:tc>
        <w:tc>
          <w:tcPr>
            <w:tcW w:w="1229"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SA</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150,300,450,600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2.17000%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2.76000%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3.35000%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2</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BE,130,200,300,400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3</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125,180,225,400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2.195250%</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4.122625%</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6.050000%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4</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BE,100,200,300,400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IA</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BE,100,200,300,400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5</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SC</w:t>
            </w:r>
          </w:p>
        </w:tc>
        <w:tc>
          <w:tcPr>
            <w:tcW w:w="2213" w:type="dxa"/>
            <w:gridSpan w:val="3"/>
            <w:tcBorders>
              <w:top w:val="single" w:color="auto" w:sz="4" w:space="0"/>
              <w:left w:val="nil"/>
              <w:bottom w:val="single" w:color="auto" w:sz="4" w:space="0"/>
              <w:right w:val="nil"/>
            </w:tcBorders>
            <w:shd w:val="clear" w:color="auto" w:fill="auto"/>
            <w:noWrap/>
            <w:vAlign w:val="bottom"/>
          </w:tcPr>
          <w:p>
            <w:pPr>
              <w:jc w:val="center"/>
              <w:rPr>
                <w:rFonts w:ascii="Times New Roman" w:hAnsi="Times New Roman" w:cs="Times New Roman"/>
                <w:sz w:val="20"/>
                <w:szCs w:val="20"/>
              </w:rPr>
            </w:pPr>
            <w:r>
              <w:rPr>
                <w:rFonts w:ascii="Times New Roman" w:hAnsi="Times New Roman" w:cs="Times New Roman"/>
                <w:sz w:val="20"/>
                <w:szCs w:val="20"/>
              </w:rPr>
              <w:t>225,330,450,700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1.98950%</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4.06975%</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6.15000%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SD</w:t>
            </w:r>
          </w:p>
        </w:tc>
        <w:tc>
          <w:tcPr>
            <w:tcW w:w="2213" w:type="dxa"/>
            <w:gridSpan w:val="3"/>
            <w:tcBorders>
              <w:top w:val="single" w:color="auto" w:sz="4" w:space="0"/>
              <w:left w:val="nil"/>
              <w:bottom w:val="single" w:color="auto" w:sz="4" w:space="0"/>
              <w:right w:val="nil"/>
            </w:tcBorders>
            <w:shd w:val="clear" w:color="auto" w:fill="auto"/>
            <w:noWrap/>
            <w:vAlign w:val="bottom"/>
          </w:tcPr>
          <w:p>
            <w:pPr>
              <w:jc w:val="center"/>
              <w:rPr>
                <w:rFonts w:ascii="Times New Roman" w:hAnsi="Times New Roman" w:cs="Times New Roman"/>
                <w:sz w:val="20"/>
                <w:szCs w:val="20"/>
              </w:rPr>
            </w:pPr>
            <w:r>
              <w:rPr>
                <w:rFonts w:ascii="Times New Roman" w:hAnsi="Times New Roman" w:cs="Times New Roman"/>
                <w:sz w:val="20"/>
                <w:szCs w:val="20"/>
              </w:rPr>
              <w:t>225,330,450,700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1.98950%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4.06975%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6.15000%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SL</w:t>
            </w:r>
          </w:p>
        </w:tc>
        <w:tc>
          <w:tcPr>
            <w:tcW w:w="2213" w:type="dxa"/>
            <w:gridSpan w:val="3"/>
            <w:tcBorders>
              <w:top w:val="single" w:color="auto" w:sz="4" w:space="0"/>
              <w:left w:val="nil"/>
              <w:bottom w:val="single" w:color="auto" w:sz="4" w:space="0"/>
              <w:right w:val="nil"/>
            </w:tcBorders>
            <w:shd w:val="clear" w:color="auto" w:fill="auto"/>
            <w:noWrap/>
            <w:vAlign w:val="bottom"/>
          </w:tcPr>
          <w:p>
            <w:pPr>
              <w:jc w:val="center"/>
              <w:rPr>
                <w:rFonts w:ascii="Times New Roman" w:hAnsi="Times New Roman" w:cs="Times New Roman"/>
                <w:sz w:val="20"/>
                <w:szCs w:val="20"/>
              </w:rPr>
            </w:pPr>
            <w:r>
              <w:rPr>
                <w:rFonts w:ascii="Times New Roman" w:hAnsi="Times New Roman" w:cs="Times New Roman"/>
                <w:sz w:val="20"/>
                <w:szCs w:val="20"/>
              </w:rPr>
              <w:t>225,330,450,700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1.98950%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4.06975%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6.15000%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7</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GI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BE,10,15,25,30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WAC/IO/DLY</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IO</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10,15,25,30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WAC/IO/DLY</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10,15,25,30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Pricing -TBD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12.70000%</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LIB</w:t>
            </w: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917" w:type="dxa"/>
            <w:gridSpan w:val="2"/>
            <w:tcBorders>
              <w:top w:val="nil"/>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4.00000%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8.00000%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11.50000%</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CMT</w:t>
            </w: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BE,10,15,25,30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WAC/IO/DLY</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10,15,25,30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096" w:type="dxa"/>
            <w:tcBorders>
              <w:top w:val="nil"/>
              <w:left w:val="nil"/>
              <w:bottom w:val="nil"/>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LIB</w:t>
            </w: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29"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4.00000%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8.00000%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11.50000%</w:t>
            </w:r>
          </w:p>
        </w:tc>
        <w:tc>
          <w:tcPr>
            <w:tcW w:w="1096" w:type="dxa"/>
            <w:tcBorders>
              <w:top w:val="nil"/>
              <w:left w:val="nil"/>
              <w:bottom w:val="nil"/>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CMT</w:t>
            </w: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9</w:t>
            </w:r>
          </w:p>
        </w:tc>
        <w:tc>
          <w:tcPr>
            <w:tcW w:w="1229"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single" w:color="auto"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IP</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BE,186,230,300,500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10</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KO</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100,200,300,400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INV/IO/DLY</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SQ</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100,200,300,400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11</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BE,150,200,250,400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IB</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BE,150,200,250,400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12</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INV/DLY</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100,200,300,400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INV/DLY</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KT</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100,200,300,400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TBD</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13</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195,230,300,500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195,230,300,500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SB</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195,230,300,500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15</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220,250,325,500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SJ</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220,250,325,500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SN</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220,250,325,500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16</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313,350,450,700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ES</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313,350,450,700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SE</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313,350,450,700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INV/IO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SP</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313,350,450,700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1.000000%</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1.889130%</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3.994565%</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6.100000%</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17</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HI</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BE,100,200,300,400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IH</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BE,100,200,300,400</w:t>
            </w:r>
          </w:p>
        </w:tc>
        <w:tc>
          <w:tcPr>
            <w:tcW w:w="145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nil"/>
            </w:tcBorders>
            <w:shd w:val="clear" w:color="auto" w:fill="auto"/>
            <w:noWrap/>
            <w:vAlign w:val="bottom"/>
          </w:tcPr>
          <w:p>
            <w:pPr>
              <w:spacing w:after="0" w:line="240" w:lineRule="auto"/>
              <w:jc w:val="righ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Group 18</w:t>
            </w:r>
          </w:p>
        </w:tc>
        <w:tc>
          <w:tcPr>
            <w:tcW w:w="122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w:t>
            </w:r>
          </w:p>
        </w:tc>
        <w:tc>
          <w:tcPr>
            <w:tcW w:w="917" w:type="dxa"/>
            <w:gridSpan w:val="2"/>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2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45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33" w:type="dxa"/>
            <w:tcBorders>
              <w:top w:val="nil"/>
              <w:left w:val="nil"/>
              <w:bottom w:val="nil"/>
              <w:right w:val="single" w:color="auto" w:sz="4" w:space="0"/>
            </w:tcBorders>
            <w:shd w:val="clear" w:color="auto" w:fill="auto"/>
            <w:noWrap/>
            <w:vAlign w:val="bottom"/>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096"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260" w:hRule="atLeast"/>
        </w:trPr>
        <w:tc>
          <w:tcPr>
            <w:tcW w:w="171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FIX/IO</w:t>
            </w:r>
          </w:p>
        </w:tc>
        <w:tc>
          <w:tcPr>
            <w:tcW w:w="122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IG</w:t>
            </w:r>
          </w:p>
        </w:tc>
        <w:tc>
          <w:tcPr>
            <w:tcW w:w="2213" w:type="dxa"/>
            <w:gridSpan w:val="3"/>
            <w:tcBorders>
              <w:top w:val="single" w:color="auto" w:sz="4" w:space="0"/>
              <w:left w:val="nil"/>
              <w:bottom w:val="single" w:color="auto" w:sz="4" w:space="0"/>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BE,100,200,300,400</w:t>
            </w:r>
          </w:p>
        </w:tc>
        <w:tc>
          <w:tcPr>
            <w:tcW w:w="145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45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13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1096"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sz w:val="20"/>
                <w:szCs w:val="20"/>
              </w:rPr>
            </w:pPr>
          </w:p>
        </w:tc>
      </w:tr>
    </w:tbl>
    <w:p>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36"/>
          <w:szCs w:val="36"/>
        </w:rPr>
      </w:pPr>
    </w:p>
    <w:p>
      <w:pPr>
        <w:tabs>
          <w:tab w:val="left" w:pos="1360"/>
          <w:tab w:val="left" w:pos="2651"/>
          <w:tab w:val="left" w:pos="3942"/>
          <w:tab w:val="left" w:pos="5233"/>
          <w:tab w:val="left" w:pos="6673"/>
          <w:tab w:val="left" w:pos="8113"/>
          <w:tab w:val="left" w:pos="9203"/>
          <w:tab w:val="left" w:pos="10292"/>
          <w:tab w:val="left" w:pos="11382"/>
        </w:tabs>
        <w:autoSpaceDE w:val="0"/>
        <w:autoSpaceDN w:val="0"/>
        <w:adjustRightInd w:val="0"/>
        <w:spacing w:after="0" w:line="240" w:lineRule="auto"/>
        <w:rPr>
          <w:rFonts w:ascii="Times New Roman" w:hAnsi="Times New Roman" w:cs="Times New Roman"/>
          <w:sz w:val="36"/>
          <w:szCs w:val="36"/>
        </w:rPr>
      </w:pP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s>
        <w:autoSpaceDE w:val="0"/>
        <w:autoSpaceDN w:val="0"/>
        <w:adjustRightInd w:val="0"/>
        <w:spacing w:after="0" w:line="240" w:lineRule="auto"/>
        <w:ind w:left="78"/>
        <w:rPr>
          <w:rFonts w:ascii="Times New Roman" w:hAnsi="Times New Roman" w:cs="Times New Roman"/>
          <w:sz w:val="32"/>
          <w:szCs w:val="32"/>
        </w:rPr>
      </w:pPr>
      <w:r>
        <w:rPr>
          <w:rFonts w:ascii="Times New Roman" w:hAnsi="Times New Roman" w:cs="Times New Roman"/>
          <w:sz w:val="32"/>
          <w:szCs w:val="32"/>
        </w:rPr>
        <w:t>Ginnie Mae 2019-123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s>
        <w:autoSpaceDE w:val="0"/>
        <w:autoSpaceDN w:val="0"/>
        <w:adjustRightInd w:val="0"/>
        <w:spacing w:after="0" w:line="240" w:lineRule="auto"/>
        <w:ind w:left="78"/>
        <w:rPr>
          <w:rFonts w:ascii="Times New Roman" w:hAnsi="Times New Roman" w:cs="Times New Roman"/>
          <w:sz w:val="36"/>
          <w:szCs w:val="36"/>
        </w:rPr>
      </w:pPr>
      <w:r>
        <w:rPr>
          <w:rFonts w:ascii="Times New Roman" w:hAnsi="Times New Roman" w:cs="Times New Roman"/>
          <w:sz w:val="36"/>
          <w:szCs w:val="36"/>
        </w:rPr>
        <w:t>Underlying Certificates</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tbl>
      <w:tblPr>
        <w:tblStyle w:val="3"/>
        <w:tblW w:w="15019" w:type="dxa"/>
        <w:tblInd w:w="-38" w:type="dxa"/>
        <w:tblLayout w:type="fixed"/>
        <w:tblCellMar>
          <w:top w:w="0" w:type="dxa"/>
          <w:left w:w="108" w:type="dxa"/>
          <w:bottom w:w="0" w:type="dxa"/>
          <w:right w:w="108" w:type="dxa"/>
        </w:tblCellMar>
      </w:tblPr>
      <w:tblGrid>
        <w:gridCol w:w="787"/>
        <w:gridCol w:w="1291"/>
        <w:gridCol w:w="1040"/>
        <w:gridCol w:w="1795"/>
        <w:gridCol w:w="1934"/>
        <w:gridCol w:w="1531"/>
        <w:gridCol w:w="1582"/>
        <w:gridCol w:w="1632"/>
        <w:gridCol w:w="1644"/>
        <w:gridCol w:w="1783"/>
      </w:tblGrid>
      <w:tr>
        <w:tblPrEx>
          <w:tblCellMar>
            <w:top w:w="0" w:type="dxa"/>
            <w:left w:w="108" w:type="dxa"/>
            <w:bottom w:w="0" w:type="dxa"/>
            <w:right w:w="108" w:type="dxa"/>
          </w:tblCellMar>
        </w:tblPrEx>
        <w:trPr>
          <w:trHeight w:val="1526" w:hRule="atLeast"/>
        </w:trPr>
        <w:tc>
          <w:tcPr>
            <w:tcW w:w="787"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Trust Asset Group or Subgroup</w:t>
            </w:r>
          </w:p>
        </w:tc>
        <w:tc>
          <w:tcPr>
            <w:tcW w:w="1291"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Issuer</w:t>
            </w:r>
          </w:p>
        </w:tc>
        <w:tc>
          <w:tcPr>
            <w:tcW w:w="1040"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Series</w:t>
            </w:r>
          </w:p>
        </w:tc>
        <w:tc>
          <w:tcPr>
            <w:tcW w:w="179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Class</w:t>
            </w:r>
          </w:p>
        </w:tc>
        <w:tc>
          <w:tcPr>
            <w:tcW w:w="1934"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Issue</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Date</w:t>
            </w:r>
          </w:p>
        </w:tc>
        <w:tc>
          <w:tcPr>
            <w:tcW w:w="1531"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CUSIP</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Number</w:t>
            </w:r>
          </w:p>
        </w:tc>
        <w:tc>
          <w:tcPr>
            <w:tcW w:w="1582"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Interest</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Rate</w:t>
            </w:r>
          </w:p>
        </w:tc>
        <w:tc>
          <w:tcPr>
            <w:tcW w:w="1632"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Interest</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Type(1)</w:t>
            </w:r>
          </w:p>
        </w:tc>
        <w:tc>
          <w:tcPr>
            <w:tcW w:w="1644"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Final</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Distribution</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Date</w:t>
            </w:r>
          </w:p>
        </w:tc>
        <w:tc>
          <w:tcPr>
            <w:tcW w:w="1783"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Principal</w:t>
            </w:r>
          </w:p>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Type(1)</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4A</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2018-079</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M</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June 29, 2018</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38380XDX2</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3.25</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January 2047</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SEQ</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4B</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2018-059</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April 30, 2018</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38380WML0</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September 2040</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SC/PT/SEQ</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7A</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2019-103</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NI</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August 30, 2019</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38381XZ82</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August 2049</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7B</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2019-103</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August 30, 2019</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38381XY67</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FIX/IO</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August 2049</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7C</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2018-040</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KI</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March 29, 2018</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38380V5R8</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WAC/IO/DLY</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February 2048</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7D</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2018-138</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WI</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October 30, 2018</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38381ADG8</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WAC/INV/IO</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October 2047</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NTL(SC/PT)</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2018-125</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PK</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September 28, 2018</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38380Y6P5</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FIX</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December 2047</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10A</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2019-119</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KO</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September 30, 2019</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38381YM92</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PO</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September 2049</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SEQ</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10B</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2019-085</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SQ</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July 30, 2019</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38381XSK3</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INV/IO</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2049</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NTL(PT)</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2017-112</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HS</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July 28, 2017</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38380TZX7</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INV</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2047</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SCH/SUP/AD</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2019-043</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PF</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April 30, 2019</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38381TT96</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April 2049</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r>
      <w:tr>
        <w:tblPrEx>
          <w:tblCellMar>
            <w:top w:w="0" w:type="dxa"/>
            <w:left w:w="108" w:type="dxa"/>
            <w:bottom w:w="0" w:type="dxa"/>
            <w:right w:w="108" w:type="dxa"/>
          </w:tblCellMar>
        </w:tblPrEx>
        <w:trPr>
          <w:trHeight w:val="254" w:hRule="atLeast"/>
        </w:trPr>
        <w:tc>
          <w:tcPr>
            <w:tcW w:w="78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29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4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2019-085</w:t>
            </w:r>
          </w:p>
        </w:tc>
        <w:tc>
          <w:tcPr>
            <w:tcW w:w="179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QF</w:t>
            </w:r>
          </w:p>
        </w:tc>
        <w:tc>
          <w:tcPr>
            <w:tcW w:w="19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July 30, 2019</w:t>
            </w:r>
          </w:p>
        </w:tc>
        <w:tc>
          <w:tcPr>
            <w:tcW w:w="153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38381XLY0</w:t>
            </w:r>
          </w:p>
        </w:tc>
        <w:tc>
          <w:tcPr>
            <w:tcW w:w="158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632"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FLT</w:t>
            </w:r>
          </w:p>
        </w:tc>
        <w:tc>
          <w:tcPr>
            <w:tcW w:w="164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July 2049</w:t>
            </w:r>
          </w:p>
        </w:tc>
        <w:tc>
          <w:tcPr>
            <w:tcW w:w="17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PAC/AD</w:t>
            </w:r>
          </w:p>
        </w:tc>
      </w:tr>
      <w:tr>
        <w:tblPrEx>
          <w:tblCellMar>
            <w:top w:w="0" w:type="dxa"/>
            <w:left w:w="108" w:type="dxa"/>
            <w:bottom w:w="0" w:type="dxa"/>
            <w:right w:w="108" w:type="dxa"/>
          </w:tblCellMar>
        </w:tblPrEx>
        <w:trPr>
          <w:trHeight w:val="254" w:hRule="atLeast"/>
        </w:trPr>
        <w:tc>
          <w:tcPr>
            <w:tcW w:w="78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29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040"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20"/>
                <w:szCs w:val="20"/>
              </w:rPr>
            </w:pPr>
          </w:p>
        </w:tc>
        <w:tc>
          <w:tcPr>
            <w:tcW w:w="1795"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93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531"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582"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632"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tbl>
      <w:tblPr>
        <w:tblStyle w:val="3"/>
        <w:tblW w:w="15564" w:type="dxa"/>
        <w:tblInd w:w="-38" w:type="dxa"/>
        <w:tblLayout w:type="fixed"/>
        <w:tblCellMar>
          <w:top w:w="0" w:type="dxa"/>
          <w:left w:w="108" w:type="dxa"/>
          <w:bottom w:w="0" w:type="dxa"/>
          <w:right w:w="108" w:type="dxa"/>
        </w:tblCellMar>
      </w:tblPr>
      <w:tblGrid>
        <w:gridCol w:w="1185"/>
        <w:gridCol w:w="1266"/>
        <w:gridCol w:w="1083"/>
        <w:gridCol w:w="701"/>
        <w:gridCol w:w="1661"/>
        <w:gridCol w:w="1328"/>
        <w:gridCol w:w="1370"/>
        <w:gridCol w:w="1647"/>
        <w:gridCol w:w="1644"/>
        <w:gridCol w:w="1783"/>
        <w:gridCol w:w="1896"/>
      </w:tblGrid>
      <w:tr>
        <w:tblPrEx>
          <w:tblCellMar>
            <w:top w:w="0" w:type="dxa"/>
            <w:left w:w="108" w:type="dxa"/>
            <w:bottom w:w="0" w:type="dxa"/>
            <w:right w:w="108" w:type="dxa"/>
          </w:tblCellMar>
        </w:tblPrEx>
        <w:trPr>
          <w:trHeight w:val="1526" w:hRule="atLeast"/>
        </w:trPr>
        <w:tc>
          <w:tcPr>
            <w:tcW w:w="1185"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Trust Asset Group or Subgroup</w:t>
            </w:r>
          </w:p>
        </w:tc>
        <w:tc>
          <w:tcPr>
            <w:tcW w:w="1266"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Issuer</w:t>
            </w:r>
          </w:p>
        </w:tc>
        <w:tc>
          <w:tcPr>
            <w:tcW w:w="1083"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Series</w:t>
            </w:r>
          </w:p>
        </w:tc>
        <w:tc>
          <w:tcPr>
            <w:tcW w:w="701"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Class</w:t>
            </w:r>
          </w:p>
        </w:tc>
        <w:tc>
          <w:tcPr>
            <w:tcW w:w="1661"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Original Principal Balance of Class</w:t>
            </w:r>
          </w:p>
        </w:tc>
        <w:tc>
          <w:tcPr>
            <w:tcW w:w="1328"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Underlying Certificate Factor (2)</w:t>
            </w:r>
          </w:p>
        </w:tc>
        <w:tc>
          <w:tcPr>
            <w:tcW w:w="1370"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Principal Balance in Trust</w:t>
            </w:r>
          </w:p>
        </w:tc>
        <w:tc>
          <w:tcPr>
            <w:tcW w:w="1647" w:type="dxa"/>
            <w:tcBorders>
              <w:top w:val="single" w:color="auto" w:sz="6" w:space="0"/>
              <w:left w:val="single" w:color="auto" w:sz="6" w:space="0"/>
              <w:bottom w:val="nil"/>
              <w:right w:val="single" w:color="auto" w:sz="6" w:space="0"/>
            </w:tcBorders>
          </w:tcPr>
          <w:p>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Percentage of Class in Trust</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4A</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2018-079</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M</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$45,000,000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4B</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2018-059</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A</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100,000,000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7A</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2019-103</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NI</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7,427,669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7B</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2019-103</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13,755,419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7C</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2018-040</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KI</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50,348,200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39.7233664759%</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7D</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2018-138</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WI</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16,747,101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2018-125</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PK</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65,339,000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89.9370972926%</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10A</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2019-119</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KO</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19,145,826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15.6692116600%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10B</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2019-085</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SQ</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23,607,363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19.0618494747%</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2017-112</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HS</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22,737,602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58.1046409379%</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2019-043</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PF</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11,784,500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r>
        <w:tblPrEx>
          <w:tblCellMar>
            <w:top w:w="0" w:type="dxa"/>
            <w:left w:w="108" w:type="dxa"/>
            <w:bottom w:w="0" w:type="dxa"/>
            <w:right w:w="108" w:type="dxa"/>
          </w:tblCellMar>
        </w:tblPrEx>
        <w:trPr>
          <w:trHeight w:val="254" w:hRule="atLeast"/>
        </w:trPr>
        <w:tc>
          <w:tcPr>
            <w:tcW w:w="118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26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Ginnie Mae</w:t>
            </w:r>
          </w:p>
        </w:tc>
        <w:tc>
          <w:tcPr>
            <w:tcW w:w="108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2019-085</w:t>
            </w:r>
          </w:p>
        </w:tc>
        <w:tc>
          <w:tcPr>
            <w:tcW w:w="70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QF</w:t>
            </w:r>
          </w:p>
        </w:tc>
        <w:tc>
          <w:tcPr>
            <w:tcW w:w="166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10,292,857 </w:t>
            </w:r>
          </w:p>
        </w:tc>
        <w:tc>
          <w:tcPr>
            <w:tcW w:w="1328"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sz w:val="20"/>
                <w:szCs w:val="20"/>
              </w:rPr>
            </w:pPr>
          </w:p>
        </w:tc>
        <w:tc>
          <w:tcPr>
            <w:tcW w:w="137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0 </w:t>
            </w:r>
          </w:p>
        </w:tc>
        <w:tc>
          <w:tcPr>
            <w:tcW w:w="164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100.0000000000%</w:t>
            </w:r>
          </w:p>
        </w:tc>
        <w:tc>
          <w:tcPr>
            <w:tcW w:w="1644"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783"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c>
          <w:tcPr>
            <w:tcW w:w="1896"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20"/>
                <w:szCs w:val="20"/>
              </w:rPr>
            </w:pPr>
          </w:p>
        </w:tc>
      </w:tr>
    </w:tbl>
    <w:p>
      <w:pPr>
        <w:rPr>
          <w:rFonts w:ascii="Times New Roman" w:hAnsi="Times New Roman" w:cs="Times New Roman"/>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As defined under “Class Types” in Appendix I to the Base Offering Circular.</w:t>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4"/>
          <w:szCs w:val="24"/>
        </w:rPr>
        <w:t>(2) Underlying Certificate Factor is as of October 2019</w:t>
      </w:r>
      <w:r>
        <w:rPr>
          <w:rFonts w:ascii="Times New Roman" w:hAnsi="Times New Roman" w:cs="Times New Roman"/>
          <w:sz w:val="24"/>
          <w:szCs w:val="24"/>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865"/>
          <w:tab w:val="left" w:pos="2156"/>
          <w:tab w:val="left" w:pos="3196"/>
          <w:tab w:val="left" w:pos="4991"/>
          <w:tab w:val="left" w:pos="6925"/>
          <w:tab w:val="left" w:pos="8456"/>
          <w:tab w:val="left" w:pos="10038"/>
          <w:tab w:val="left" w:pos="11670"/>
          <w:tab w:val="left" w:pos="13314"/>
          <w:tab w:val="left" w:pos="15097"/>
          <w:tab w:val="left" w:pos="16993"/>
          <w:tab w:val="left" w:pos="18234"/>
          <w:tab w:val="left" w:pos="19614"/>
          <w:tab w:val="left" w:pos="20401"/>
          <w:tab w:val="left" w:pos="21208"/>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rPr>
          <w:rFonts w:ascii="Times New Roman" w:hAnsi="Times New Roman" w:cs="Times New Roman"/>
        </w:rPr>
      </w:pPr>
    </w:p>
    <w:p>
      <w:pPr>
        <w:rPr>
          <w:rFonts w:ascii="Times New Roman" w:hAnsi="Times New Roman" w:cs="Times New Roman"/>
        </w:rPr>
      </w:pPr>
      <w:r>
        <w:rPr>
          <w:rFonts w:ascii="Times New Roman" w:hAnsi="Times New Roman" w:cs="Times New Roman"/>
          <w:sz w:val="36"/>
          <w:szCs w:val="36"/>
        </w:rPr>
        <w:t>Available Combinations(1)</w:t>
      </w:r>
      <w:r>
        <w:rPr>
          <w:rFonts w:ascii="Times New Roman" w:hAnsi="Times New Roman" w:cs="Times New Roman"/>
          <w:sz w:val="36"/>
          <w:szCs w:val="36"/>
        </w:rPr>
        <w:tab/>
      </w:r>
      <w:r>
        <w:rPr>
          <w:rFonts w:ascii="Times New Roman" w:hAnsi="Times New Roman" w:cs="Times New Roman"/>
          <w:sz w:val="40"/>
          <w:szCs w:val="40"/>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48"/>
          <w:szCs w:val="48"/>
        </w:rPr>
        <w:t>2019-123</w:t>
      </w:r>
      <w:r>
        <w:rPr>
          <w:rFonts w:ascii="Times New Roman" w:hAnsi="Times New Roman" w:cs="Times New Roman"/>
          <w:sz w:val="48"/>
          <w:szCs w:val="48"/>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tbl>
      <w:tblPr>
        <w:tblStyle w:val="3"/>
        <w:tblW w:w="0" w:type="auto"/>
        <w:tblInd w:w="-30" w:type="dxa"/>
        <w:tblLayout w:type="fixed"/>
        <w:tblCellMar>
          <w:top w:w="0" w:type="dxa"/>
          <w:left w:w="108" w:type="dxa"/>
          <w:bottom w:w="0" w:type="dxa"/>
          <w:right w:w="108" w:type="dxa"/>
        </w:tblCellMar>
      </w:tblPr>
      <w:tblGrid>
        <w:gridCol w:w="2357"/>
        <w:gridCol w:w="1699"/>
        <w:gridCol w:w="1029"/>
        <w:gridCol w:w="1719"/>
        <w:gridCol w:w="1707"/>
        <w:gridCol w:w="926"/>
        <w:gridCol w:w="1551"/>
        <w:gridCol w:w="1234"/>
        <w:gridCol w:w="1411"/>
      </w:tblGrid>
      <w:tr>
        <w:tblPrEx>
          <w:tblCellMar>
            <w:top w:w="0" w:type="dxa"/>
            <w:left w:w="108" w:type="dxa"/>
            <w:bottom w:w="0" w:type="dxa"/>
            <w:right w:w="108" w:type="dxa"/>
          </w:tblCellMar>
        </w:tblPrEx>
        <w:trPr>
          <w:trHeight w:val="926" w:hRule="atLeast"/>
        </w:trPr>
        <w:tc>
          <w:tcPr>
            <w:tcW w:w="2357" w:type="dxa"/>
            <w:tcBorders>
              <w:top w:val="single" w:color="auto" w:sz="6" w:space="0"/>
              <w:left w:val="nil"/>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Class</w:t>
            </w:r>
          </w:p>
        </w:tc>
        <w:tc>
          <w:tcPr>
            <w:tcW w:w="169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Original Class Principal Balance or Class Notional Balance</w:t>
            </w:r>
          </w:p>
        </w:tc>
        <w:tc>
          <w:tcPr>
            <w:tcW w:w="102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Related MX Class</w:t>
            </w:r>
          </w:p>
        </w:tc>
        <w:tc>
          <w:tcPr>
            <w:tcW w:w="171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Maximum Original Class Principal Balance or Class Notional Balance(2)</w:t>
            </w:r>
          </w:p>
        </w:tc>
        <w:tc>
          <w:tcPr>
            <w:tcW w:w="1707"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Principal Type(3)</w:t>
            </w:r>
          </w:p>
        </w:tc>
        <w:tc>
          <w:tcPr>
            <w:tcW w:w="926"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Interest Rate</w:t>
            </w:r>
          </w:p>
        </w:tc>
        <w:tc>
          <w:tcPr>
            <w:tcW w:w="155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Interest Type(3)</w:t>
            </w:r>
          </w:p>
        </w:tc>
        <w:tc>
          <w:tcPr>
            <w:tcW w:w="123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CUSIP Number</w:t>
            </w:r>
          </w:p>
        </w:tc>
        <w:tc>
          <w:tcPr>
            <w:tcW w:w="1411"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jc w:val="center"/>
              <w:rPr>
                <w:rFonts w:ascii="Times New Roman" w:hAnsi="Times New Roman" w:cs="Times New Roman"/>
                <w:b/>
                <w:bCs/>
                <w:sz w:val="18"/>
                <w:szCs w:val="18"/>
              </w:rPr>
            </w:pPr>
            <w:r>
              <w:rPr>
                <w:rFonts w:ascii="Times New Roman" w:hAnsi="Times New Roman" w:cs="Times New Roman"/>
                <w:b/>
                <w:bCs/>
                <w:sz w:val="18"/>
                <w:szCs w:val="18"/>
              </w:rPr>
              <w:t>Final Distribution Date(4)</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5</w:t>
            </w:r>
          </w:p>
        </w:tc>
        <w:tc>
          <w:tcPr>
            <w:tcW w:w="169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171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b/>
                <w:bCs/>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$50,188,560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SD</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$234,234,617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INV/IO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SL</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184,046,057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2</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CZ</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$8,394,570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Z</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$74,464,348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SUP</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FIX/Z</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LZ</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66,069,778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7</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3</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GI</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$13,574,396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IO</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$50,184,865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NTL(SC/PT)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WAC/IO/DLY</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August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KI</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15,021,085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NI</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7,406,634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WI</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14,182,750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9</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4</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IP</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$20,498,065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PC</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PD</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PE</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PG</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PH</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PJ</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PK</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46,120,647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December 2047</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10</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5</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KO</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$3,000,000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WA(6)</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$3,000,000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SC/PT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WAC/DLY</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September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SQ</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4,478,027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11</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6</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BA</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BC</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BD</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BE</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BG</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BH</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IB</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20,839,729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7</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BA</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$50,015,351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BI</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$22,276,869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BY</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3,449,135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BJ</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53,464,486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BK</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53,464,486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BL</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53,464,486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BM</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53,464,486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BN</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53,464,486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BP</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53,464,486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13</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8</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CS</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$22,050,963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BS</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$48,055,629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INV/IO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SB</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26,004,666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15</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9</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FJ</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$19,642,333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$52,842,333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FLT</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FN</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33,200,000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10</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SJ</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$19,642,333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$52,842,333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INV/IO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SN</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33,200,000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16</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11</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DF</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$14,777,000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FP</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$65,027,000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FLT</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FB</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50,250,000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12</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DS</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$14,777,000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SP</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$40,027,000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INV/IO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SE</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25,250,000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Groups 15 and 16</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13</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AB</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$3,909,667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$6,856,667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AC</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2,947,000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14</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DB</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$26,607,000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C</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$61,982,000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PAC/AD</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TBD</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KA</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35,375,000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15</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AZ</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$5,919,000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ZK</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$13,392,000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SUP</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FIX/Z</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KZ</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7,473,000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Security Group 18</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Combination 16</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w:t>
            </w: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GA</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GB</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GC</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GD</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GE</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GH</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GJ</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44,109,542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IG</w:t>
            </w: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 xml:space="preserve">22,054,771 </w:t>
            </w: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NTL(PT)</w:t>
            </w: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FIX/IO</w:t>
            </w: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October 2049</w:t>
            </w: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r>
        <w:tblPrEx>
          <w:tblCellMar>
            <w:top w:w="0" w:type="dxa"/>
            <w:left w:w="108" w:type="dxa"/>
            <w:bottom w:w="0" w:type="dxa"/>
            <w:right w:w="108" w:type="dxa"/>
          </w:tblCellMar>
        </w:tblPrEx>
        <w:trPr>
          <w:trHeight w:val="260" w:hRule="atLeast"/>
        </w:trPr>
        <w:tc>
          <w:tcPr>
            <w:tcW w:w="235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69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029"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719" w:type="dxa"/>
            <w:tcBorders>
              <w:top w:val="nil"/>
              <w:left w:val="nil"/>
              <w:bottom w:val="nil"/>
              <w:right w:val="nil"/>
            </w:tcBorders>
          </w:tcPr>
          <w:p>
            <w:pPr>
              <w:autoSpaceDE w:val="0"/>
              <w:autoSpaceDN w:val="0"/>
              <w:adjustRightInd w:val="0"/>
              <w:spacing w:after="0" w:line="240" w:lineRule="auto"/>
              <w:jc w:val="right"/>
              <w:rPr>
                <w:rFonts w:ascii="Times New Roman" w:hAnsi="Times New Roman" w:cs="Times New Roman"/>
                <w:sz w:val="18"/>
                <w:szCs w:val="18"/>
              </w:rPr>
            </w:pPr>
          </w:p>
        </w:tc>
        <w:tc>
          <w:tcPr>
            <w:tcW w:w="1707"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926"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55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234"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c>
          <w:tcPr>
            <w:tcW w:w="1411" w:type="dxa"/>
            <w:tcBorders>
              <w:top w:val="nil"/>
              <w:left w:val="nil"/>
              <w:bottom w:val="nil"/>
              <w:right w:val="nil"/>
            </w:tcBorders>
          </w:tcPr>
          <w:p>
            <w:pPr>
              <w:autoSpaceDE w:val="0"/>
              <w:autoSpaceDN w:val="0"/>
              <w:adjustRightInd w:val="0"/>
              <w:spacing w:after="0" w:line="240" w:lineRule="auto"/>
              <w:jc w:val="center"/>
              <w:rPr>
                <w:rFonts w:ascii="Times New Roman" w:hAnsi="Times New Roman" w:cs="Times New Roman"/>
                <w:sz w:val="18"/>
                <w:szCs w:val="18"/>
              </w:rPr>
            </w:pPr>
          </w:p>
        </w:tc>
      </w:tr>
    </w:tbl>
    <w:p>
      <w:pPr>
        <w:rPr>
          <w:rFonts w:ascii="Times New Roman" w:hAnsi="Times New Roman" w:cs="Times New Roman"/>
        </w:rPr>
      </w:pPr>
    </w:p>
    <w:p>
      <w:pPr>
        <w:tabs>
          <w:tab w:val="left" w:pos="1959"/>
          <w:tab w:val="left" w:pos="3658"/>
          <w:tab w:val="left" w:pos="4687"/>
          <w:tab w:val="left" w:pos="6406"/>
          <w:tab w:val="left" w:pos="7988"/>
          <w:tab w:val="left" w:pos="8914"/>
          <w:tab w:val="left" w:pos="10148"/>
          <w:tab w:val="left" w:pos="11382"/>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959"/>
          <w:tab w:val="left" w:pos="3658"/>
          <w:tab w:val="left" w:pos="4687"/>
          <w:tab w:val="left" w:pos="6406"/>
          <w:tab w:val="left" w:pos="7988"/>
          <w:tab w:val="left" w:pos="8914"/>
          <w:tab w:val="left" w:pos="10148"/>
          <w:tab w:val="left" w:pos="11382"/>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(6) Subject to mandatory exchange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tabs>
          <w:tab w:val="left" w:pos="1959"/>
          <w:tab w:val="left" w:pos="3658"/>
          <w:tab w:val="left" w:pos="4687"/>
          <w:tab w:val="left" w:pos="6406"/>
          <w:tab w:val="left" w:pos="7988"/>
          <w:tab w:val="left" w:pos="8914"/>
          <w:tab w:val="left" w:pos="10148"/>
          <w:tab w:val="left" w:pos="11382"/>
        </w:tabs>
        <w:autoSpaceDE w:val="0"/>
        <w:autoSpaceDN w:val="0"/>
        <w:adjustRightInd w:val="0"/>
        <w:spacing w:after="0" w:line="240" w:lineRule="auto"/>
        <w:ind w:left="7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pPr>
        <w:rPr>
          <w:rFonts w:ascii="Times New Roman" w:hAnsi="Times New Roman" w:cs="Times New Roman"/>
        </w:rPr>
      </w:pPr>
    </w:p>
    <w:sectPr>
      <w:pgSz w:w="15840" w:h="12240"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7C5"/>
    <w:multiLevelType w:val="multilevel"/>
    <w:tmpl w:val="065647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D04988"/>
    <w:multiLevelType w:val="multilevel"/>
    <w:tmpl w:val="13D049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D30E88"/>
    <w:multiLevelType w:val="multilevel"/>
    <w:tmpl w:val="14D30E8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8C13B16"/>
    <w:multiLevelType w:val="multilevel"/>
    <w:tmpl w:val="28C13B1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50531F4"/>
    <w:multiLevelType w:val="multilevel"/>
    <w:tmpl w:val="350531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7061890"/>
    <w:multiLevelType w:val="multilevel"/>
    <w:tmpl w:val="370618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97463E3"/>
    <w:multiLevelType w:val="multilevel"/>
    <w:tmpl w:val="397463E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ACC6722"/>
    <w:multiLevelType w:val="multilevel"/>
    <w:tmpl w:val="3ACC6722"/>
    <w:lvl w:ilvl="0" w:tentative="0">
      <w:start w:val="1"/>
      <w:numFmt w:val="decimal"/>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BF1564B"/>
    <w:multiLevelType w:val="multilevel"/>
    <w:tmpl w:val="3BF1564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2AE56A5"/>
    <w:multiLevelType w:val="multilevel"/>
    <w:tmpl w:val="42AE56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656965"/>
    <w:multiLevelType w:val="multilevel"/>
    <w:tmpl w:val="4965696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4E2F1BB5"/>
    <w:multiLevelType w:val="multilevel"/>
    <w:tmpl w:val="4E2F1BB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63324898"/>
    <w:multiLevelType w:val="multilevel"/>
    <w:tmpl w:val="633248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88D3FFA"/>
    <w:multiLevelType w:val="multilevel"/>
    <w:tmpl w:val="688D3FF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79F05193"/>
    <w:multiLevelType w:val="multilevel"/>
    <w:tmpl w:val="79F0519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4"/>
  </w:num>
  <w:num w:numId="8">
    <w:abstractNumId w:val="14"/>
  </w:num>
  <w:num w:numId="9">
    <w:abstractNumId w:val="2"/>
  </w:num>
  <w:num w:numId="10">
    <w:abstractNumId w:val="9"/>
  </w:num>
  <w:num w:numId="11">
    <w:abstractNumId w:val="1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E4"/>
    <w:rsid w:val="000E1588"/>
    <w:rsid w:val="002A5D4C"/>
    <w:rsid w:val="00337137"/>
    <w:rsid w:val="00796614"/>
    <w:rsid w:val="009E7852"/>
    <w:rsid w:val="00A50334"/>
    <w:rsid w:val="00A805E4"/>
    <w:rsid w:val="00D32CB9"/>
    <w:rsid w:val="00F072B7"/>
    <w:rsid w:val="3CF37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link w:val="6"/>
    <w:qFormat/>
    <w:uiPriority w:val="0"/>
    <w:pPr>
      <w:spacing w:after="0" w:line="240" w:lineRule="auto"/>
    </w:pPr>
    <w:rPr>
      <w:rFonts w:ascii="Times New Roman" w:hAnsi="Times New Roman" w:eastAsia="Times New Roman" w:cs="Times New Roman"/>
      <w:sz w:val="32"/>
      <w:szCs w:val="20"/>
    </w:rPr>
  </w:style>
  <w:style w:type="paragraph" w:styleId="5">
    <w:name w:val="List Paragraph"/>
    <w:basedOn w:val="1"/>
    <w:qFormat/>
    <w:uiPriority w:val="34"/>
    <w:pPr>
      <w:spacing w:line="252" w:lineRule="auto"/>
      <w:ind w:left="720"/>
      <w:contextualSpacing/>
    </w:pPr>
    <w:rPr>
      <w:rFonts w:ascii="Calibri" w:hAnsi="Calibri" w:eastAsia="Calibri" w:cs="Times New Roman"/>
    </w:rPr>
  </w:style>
  <w:style w:type="character" w:customStyle="1" w:styleId="6">
    <w:name w:val="Subtitle Char"/>
    <w:basedOn w:val="4"/>
    <w:link w:val="2"/>
    <w:uiPriority w:val="0"/>
    <w:rPr>
      <w:rFonts w:ascii="Times New Roman" w:hAnsi="Times New Roman" w:eastAsia="Times New Roman" w:cs="Times New Roman"/>
      <w:sz w:val="3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4491</Words>
  <Characters>22808</Characters>
  <Lines>3373</Lines>
  <Paragraphs>2138</Paragraphs>
  <TotalTime>0</TotalTime>
  <ScaleCrop>false</ScaleCrop>
  <LinksUpToDate>false</LinksUpToDate>
  <CharactersWithSpaces>25854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2019-11-05T15:26:00Z</dcterms:created>
  <dc:creator>Pasvankias, John</dc:creator>
  <cp:lastModifiedBy>dingxw</cp:lastModifiedBy>
  <dcterms:modified xsi:type="dcterms:W3CDTF">2019-12-16T03:11:02Z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