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3D797">
      <w:pPr>
        <w:jc w:val="center"/>
        <w:rPr>
          <w:rFonts w:hint="eastAsia" w:ascii="方正仿宋_GB2312" w:hAnsi="方正仿宋_GB2312" w:eastAsia="方正仿宋_GB2312" w:cs="方正仿宋_GB2312"/>
          <w:sz w:val="36"/>
          <w:szCs w:val="44"/>
        </w:rPr>
      </w:pPr>
      <w:r>
        <w:rPr>
          <w:rFonts w:hint="eastAsia" w:ascii="方正仿宋_GB2312" w:hAnsi="方正仿宋_GB2312" w:eastAsia="方正仿宋_GB2312" w:cs="方正仿宋_GB2312"/>
          <w:sz w:val="36"/>
          <w:szCs w:val="44"/>
        </w:rPr>
        <w:t>世界首富5.5万亿，中国首富5500亿，啥意思？</w:t>
      </w:r>
    </w:p>
    <w:p w14:paraId="48106A26">
      <w:pPr>
        <w:rPr>
          <w:rFonts w:hint="eastAsia" w:ascii="方正仿宋_GB2312" w:hAnsi="方正仿宋_GB2312" w:eastAsia="方正仿宋_GB2312" w:cs="方正仿宋_GB2312"/>
          <w:sz w:val="32"/>
          <w:szCs w:val="40"/>
        </w:rPr>
      </w:pPr>
    </w:p>
    <w:p w14:paraId="5FCF2181">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3月5日发布的《2026胡润全球富豪榜》，世界首富Elon Musk，持有财富受SpaceX估值飙升和特斯拉股价上涨推动，增长89%，</w:t>
      </w:r>
      <w:r>
        <w:rPr>
          <w:rFonts w:hint="eastAsia" w:ascii="方正仿宋_GB2312" w:hAnsi="方正仿宋_GB2312" w:eastAsia="方正仿宋_GB2312" w:cs="方正仿宋_GB2312"/>
          <w:b/>
          <w:bCs/>
          <w:color w:val="0000FF"/>
          <w:sz w:val="32"/>
          <w:szCs w:val="40"/>
          <w:lang w:val="en-US" w:eastAsia="zh-CN"/>
        </w:rPr>
        <w:t>达到5.5万亿人民币</w:t>
      </w:r>
      <w:r>
        <w:rPr>
          <w:rFonts w:hint="eastAsia" w:ascii="方正仿宋_GB2312" w:hAnsi="方正仿宋_GB2312" w:eastAsia="方正仿宋_GB2312" w:cs="方正仿宋_GB2312"/>
          <w:sz w:val="32"/>
          <w:szCs w:val="40"/>
          <w:lang w:val="en-US" w:eastAsia="zh-CN"/>
        </w:rPr>
        <w:t>；中国首富张一鸣，持有财富增长32%，</w:t>
      </w:r>
      <w:r>
        <w:rPr>
          <w:rFonts w:hint="eastAsia" w:ascii="方正仿宋_GB2312" w:hAnsi="方正仿宋_GB2312" w:eastAsia="方正仿宋_GB2312" w:cs="方正仿宋_GB2312"/>
          <w:b/>
          <w:bCs/>
          <w:color w:val="0000FF"/>
          <w:sz w:val="32"/>
          <w:szCs w:val="40"/>
          <w:lang w:val="en-US" w:eastAsia="zh-CN"/>
        </w:rPr>
        <w:t>达到5500亿人民币</w:t>
      </w:r>
      <w:r>
        <w:rPr>
          <w:rFonts w:hint="eastAsia" w:ascii="方正仿宋_GB2312" w:hAnsi="方正仿宋_GB2312" w:eastAsia="方正仿宋_GB2312" w:cs="方正仿宋_GB2312"/>
          <w:sz w:val="32"/>
          <w:szCs w:val="40"/>
          <w:lang w:val="en-US" w:eastAsia="zh-CN"/>
        </w:rPr>
        <w:t>。</w:t>
      </w:r>
    </w:p>
    <w:p w14:paraId="70BCBA21">
      <w:pPr>
        <w:rPr>
          <w:rFonts w:hint="eastAsia" w:ascii="方正仿宋_GB2312" w:hAnsi="方正仿宋_GB2312" w:eastAsia="方正仿宋_GB2312" w:cs="方正仿宋_GB2312"/>
          <w:sz w:val="32"/>
          <w:szCs w:val="40"/>
          <w:lang w:val="en-US" w:eastAsia="zh-CN"/>
        </w:rPr>
      </w:pPr>
    </w:p>
    <w:p w14:paraId="327F659A">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无论是5.5万亿，还是5500亿，都是天文数字！</w:t>
      </w:r>
    </w:p>
    <w:p w14:paraId="05FEFBBF">
      <w:pPr>
        <w:rPr>
          <w:rFonts w:hint="eastAsia" w:ascii="方正仿宋_GB2312" w:hAnsi="方正仿宋_GB2312" w:eastAsia="方正仿宋_GB2312" w:cs="方正仿宋_GB2312"/>
          <w:sz w:val="32"/>
          <w:szCs w:val="40"/>
          <w:lang w:val="en-US" w:eastAsia="zh-CN"/>
        </w:rPr>
      </w:pPr>
    </w:p>
    <w:p w14:paraId="1CE655BA">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但是，两个数字有10倍的差距，为什么，代表什么？</w:t>
      </w:r>
    </w:p>
    <w:p w14:paraId="29AED99F">
      <w:pPr>
        <w:rPr>
          <w:rFonts w:hint="eastAsia" w:ascii="方正仿宋_GB2312" w:hAnsi="方正仿宋_GB2312" w:eastAsia="方正仿宋_GB2312" w:cs="方正仿宋_GB2312"/>
          <w:sz w:val="32"/>
          <w:szCs w:val="40"/>
          <w:lang w:val="en-US" w:eastAsia="zh-CN"/>
        </w:rPr>
      </w:pPr>
    </w:p>
    <w:p w14:paraId="05582DD3">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按照2025年GDP计算，我国GDP占美国GDP比重约为63.5%，剔除这个系数，两位首富的财富差距依然很大。</w:t>
      </w:r>
    </w:p>
    <w:p w14:paraId="77B2054A">
      <w:pPr>
        <w:rPr>
          <w:rFonts w:hint="eastAsia" w:ascii="方正仿宋_GB2312" w:hAnsi="方正仿宋_GB2312" w:eastAsia="方正仿宋_GB2312" w:cs="方正仿宋_GB2312"/>
          <w:sz w:val="32"/>
          <w:szCs w:val="40"/>
          <w:lang w:val="en-US" w:eastAsia="zh-CN"/>
        </w:rPr>
      </w:pPr>
    </w:p>
    <w:p w14:paraId="7AD06203">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其实，首富的差距和我们关系不大，但是我们散户的差距，是否也会有一定的关联？</w:t>
      </w:r>
    </w:p>
    <w:p w14:paraId="13BC1634">
      <w:pPr>
        <w:rPr>
          <w:rFonts w:hint="eastAsia" w:ascii="方正仿宋_GB2312" w:hAnsi="方正仿宋_GB2312" w:eastAsia="方正仿宋_GB2312" w:cs="方正仿宋_GB2312"/>
          <w:sz w:val="32"/>
          <w:szCs w:val="40"/>
          <w:lang w:val="en-US" w:eastAsia="zh-CN"/>
        </w:rPr>
      </w:pPr>
    </w:p>
    <w:p w14:paraId="65F5CAC0">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Elon Musk的Tesla是已经上市的公司，很多持有股票的投资者同样受益于股价上涨。张一鸣的字节跳动还没上市，收益群体有限，就像这句话戏虐的吧：“登顶中国首富的张一鸣，创造让别人上瘾的产品，自己爱看书。”</w:t>
      </w:r>
    </w:p>
    <w:p w14:paraId="455C61E2">
      <w:pPr>
        <w:rPr>
          <w:rFonts w:hint="eastAsia" w:ascii="方正仿宋_GB2312" w:hAnsi="方正仿宋_GB2312" w:eastAsia="方正仿宋_GB2312" w:cs="方正仿宋_GB2312"/>
          <w:sz w:val="32"/>
          <w:szCs w:val="40"/>
          <w:lang w:val="en-US" w:eastAsia="zh-CN"/>
        </w:rPr>
      </w:pPr>
    </w:p>
    <w:p w14:paraId="35257D85">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列举近几十年的几位首富持有的跟随时代发展的科技公司和上市情况，看看有没有规律可循：</w:t>
      </w:r>
    </w:p>
    <w:tbl>
      <w:tblPr>
        <w:tblStyle w:val="3"/>
        <w:tblW w:w="996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2327"/>
        <w:gridCol w:w="3490"/>
        <w:gridCol w:w="4145"/>
      </w:tblGrid>
      <w:tr w14:paraId="27B654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2327"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2EAFEAE7">
            <w:pPr>
              <w:keepNext/>
              <w:snapToGrid w:val="0"/>
              <w:ind w:left="0" w:leftChars="0" w:right="0" w:rightChars="0" w:firstLine="0" w:firstLineChars="0"/>
              <w:jc w:val="center"/>
              <w:rPr>
                <w:rFonts w:hint="default" w:ascii="方正仿宋_GB2312" w:hAnsi="方正仿宋_GB2312" w:eastAsia="方正仿宋_GB2312" w:cs="方正仿宋_GB2312"/>
                <w:b/>
                <w:i w:val="0"/>
                <w:color w:val="4874CB" w:themeColor="accent1"/>
                <w:sz w:val="32"/>
                <w:szCs w:val="40"/>
                <w:vertAlign w:val="baseline"/>
                <w:lang w:val="en-US" w:eastAsia="zh-CN"/>
                <w14:textFill>
                  <w14:solidFill>
                    <w14:schemeClr w14:val="accent1"/>
                  </w14:solidFill>
                </w14:textFill>
              </w:rPr>
            </w:pPr>
            <w:r>
              <w:rPr>
                <w:rFonts w:hint="eastAsia" w:ascii="方正仿宋_GB2312" w:hAnsi="方正仿宋_GB2312" w:eastAsia="方正仿宋_GB2312" w:cs="方正仿宋_GB2312"/>
                <w:b/>
                <w:i w:val="0"/>
                <w:color w:val="4874CB" w:themeColor="accent1"/>
                <w:sz w:val="32"/>
                <w:szCs w:val="40"/>
                <w:vertAlign w:val="baseline"/>
                <w:lang w:val="en-US" w:eastAsia="zh-CN"/>
                <w14:textFill>
                  <w14:solidFill>
                    <w14:schemeClr w14:val="accent1"/>
                  </w14:solidFill>
                </w14:textFill>
              </w:rPr>
              <w:t>时代</w:t>
            </w:r>
          </w:p>
        </w:tc>
        <w:tc>
          <w:tcPr>
            <w:tcW w:w="34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533A3321">
            <w:pPr>
              <w:keepNext/>
              <w:snapToGrid w:val="0"/>
              <w:ind w:left="0" w:leftChars="0" w:right="0" w:rightChars="0" w:firstLine="0" w:firstLineChars="0"/>
              <w:jc w:val="center"/>
              <w:rPr>
                <w:rFonts w:hint="default" w:ascii="方正仿宋_GB2312" w:hAnsi="方正仿宋_GB2312" w:eastAsia="方正仿宋_GB2312" w:cs="方正仿宋_GB2312"/>
                <w:b/>
                <w:i w:val="0"/>
                <w:color w:val="4874CB" w:themeColor="accent1"/>
                <w:sz w:val="32"/>
                <w:szCs w:val="40"/>
                <w:vertAlign w:val="baseline"/>
                <w:lang w:val="en-US" w:eastAsia="zh-CN"/>
                <w14:textFill>
                  <w14:solidFill>
                    <w14:schemeClr w14:val="accent1"/>
                  </w14:solidFill>
                </w14:textFill>
              </w:rPr>
            </w:pPr>
            <w:r>
              <w:rPr>
                <w:rFonts w:hint="eastAsia" w:ascii="方正仿宋_GB2312" w:hAnsi="方正仿宋_GB2312" w:eastAsia="方正仿宋_GB2312" w:cs="方正仿宋_GB2312"/>
                <w:b/>
                <w:i w:val="0"/>
                <w:color w:val="4874CB" w:themeColor="accent1"/>
                <w:sz w:val="32"/>
                <w:szCs w:val="40"/>
                <w:vertAlign w:val="baseline"/>
                <w:lang w:val="en-US" w:eastAsia="zh-CN"/>
                <w14:textFill>
                  <w14:solidFill>
                    <w14:schemeClr w14:val="accent1"/>
                  </w14:solidFill>
                </w14:textFill>
              </w:rPr>
              <w:t>典型美国公司</w:t>
            </w:r>
          </w:p>
        </w:tc>
        <w:tc>
          <w:tcPr>
            <w:tcW w:w="4145"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0"/>
            <w:tcMar>
              <w:top w:w="-1" w:type="dxa"/>
              <w:left w:w="-1" w:type="dxa"/>
              <w:bottom w:w="-1" w:type="dxa"/>
              <w:right w:w="-1" w:type="dxa"/>
            </w:tcMar>
            <w:vAlign w:val="center"/>
          </w:tcPr>
          <w:p w14:paraId="298D99C6">
            <w:pPr>
              <w:keepNext/>
              <w:snapToGrid w:val="0"/>
              <w:ind w:left="0" w:leftChars="0" w:right="0" w:rightChars="0" w:firstLine="0" w:firstLineChars="0"/>
              <w:jc w:val="center"/>
              <w:rPr>
                <w:rFonts w:hint="default" w:ascii="方正仿宋_GB2312" w:hAnsi="方正仿宋_GB2312" w:eastAsia="方正仿宋_GB2312" w:cs="方正仿宋_GB2312"/>
                <w:b/>
                <w:i w:val="0"/>
                <w:color w:val="4874CB" w:themeColor="accent1"/>
                <w:sz w:val="32"/>
                <w:szCs w:val="40"/>
                <w:vertAlign w:val="baseline"/>
                <w:lang w:val="en-US" w:eastAsia="zh-CN"/>
                <w14:textFill>
                  <w14:solidFill>
                    <w14:schemeClr w14:val="accent1"/>
                  </w14:solidFill>
                </w14:textFill>
              </w:rPr>
            </w:pPr>
            <w:r>
              <w:rPr>
                <w:rFonts w:hint="eastAsia" w:ascii="方正仿宋_GB2312" w:hAnsi="方正仿宋_GB2312" w:eastAsia="方正仿宋_GB2312" w:cs="方正仿宋_GB2312"/>
                <w:b/>
                <w:i w:val="0"/>
                <w:color w:val="4874CB" w:themeColor="accent1"/>
                <w:sz w:val="32"/>
                <w:szCs w:val="40"/>
                <w:vertAlign w:val="baseline"/>
                <w:lang w:val="en-US" w:eastAsia="zh-CN"/>
                <w14:textFill>
                  <w14:solidFill>
                    <w14:schemeClr w14:val="accent1"/>
                  </w14:solidFill>
                </w14:textFill>
              </w:rPr>
              <w:t>典型中国公司</w:t>
            </w:r>
          </w:p>
        </w:tc>
      </w:tr>
      <w:tr w14:paraId="4786B1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232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2122D9BB">
            <w:pPr>
              <w:keepNext/>
              <w:snapToGrid w:val="0"/>
              <w:ind w:left="0" w:leftChars="0" w:right="0" w:rightChars="0" w:firstLine="0" w:firstLineChars="0"/>
              <w:jc w:val="center"/>
              <w:rPr>
                <w:rFonts w:hint="default"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val="0"/>
                <w:i w:val="0"/>
                <w:color w:val="000000"/>
                <w:sz w:val="32"/>
                <w:szCs w:val="40"/>
                <w:vertAlign w:val="baseline"/>
                <w:lang w:val="en-US" w:eastAsia="zh-CN"/>
              </w:rPr>
              <w:t>PC</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66C81A95">
            <w:pPr>
              <w:keepNext/>
              <w:snapToGrid w:val="0"/>
              <w:ind w:left="0" w:leftChars="0" w:right="0" w:rightChars="0" w:firstLine="0" w:firstLineChars="0"/>
              <w:jc w:val="left"/>
              <w:rPr>
                <w:rFonts w:hint="default"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val="0"/>
                <w:i w:val="0"/>
                <w:color w:val="000000"/>
                <w:sz w:val="32"/>
                <w:szCs w:val="40"/>
                <w:vertAlign w:val="baseline"/>
                <w:lang w:val="en-US" w:eastAsia="zh-CN"/>
              </w:rPr>
              <w:t>IBM，Oracle，Intel，</w:t>
            </w:r>
            <w:r>
              <w:rPr>
                <w:rFonts w:hint="eastAsia" w:ascii="方正仿宋_GB2312" w:hAnsi="方正仿宋_GB2312" w:eastAsia="方正仿宋_GB2312" w:cs="方正仿宋_GB2312"/>
                <w:b w:val="0"/>
                <w:i w:val="0"/>
                <w:color w:val="000000"/>
                <w:sz w:val="32"/>
                <w:szCs w:val="40"/>
                <w:vertAlign w:val="baseline"/>
                <w:lang w:val="en-US" w:eastAsia="zh-CN"/>
              </w:rPr>
              <w:t>Dell，</w:t>
            </w:r>
            <w:r>
              <w:rPr>
                <w:rFonts w:hint="eastAsia" w:ascii="方正仿宋_GB2312" w:hAnsi="方正仿宋_GB2312" w:eastAsia="方正仿宋_GB2312" w:cs="方正仿宋_GB2312"/>
                <w:b w:val="0"/>
                <w:i w:val="0"/>
                <w:color w:val="000000"/>
                <w:sz w:val="32"/>
                <w:szCs w:val="40"/>
                <w:vertAlign w:val="baseline"/>
                <w:lang w:val="en-US" w:eastAsia="zh-CN"/>
              </w:rPr>
              <w:t>Microsoft</w:t>
            </w:r>
          </w:p>
        </w:tc>
        <w:tc>
          <w:tcPr>
            <w:tcW w:w="414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0"/>
            <w:tcMar>
              <w:top w:w="-1" w:type="dxa"/>
              <w:left w:w="-1" w:type="dxa"/>
              <w:bottom w:w="-1" w:type="dxa"/>
              <w:right w:w="-1" w:type="dxa"/>
            </w:tcMar>
            <w:vAlign w:val="center"/>
          </w:tcPr>
          <w:p w14:paraId="4F522226">
            <w:pPr>
              <w:keepNext/>
              <w:snapToGrid w:val="0"/>
              <w:ind w:left="0" w:leftChars="0" w:right="0" w:rightChars="0" w:firstLine="0" w:firstLineChars="0"/>
              <w:jc w:val="left"/>
              <w:rPr>
                <w:rFonts w:hint="default"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val="0"/>
                <w:i w:val="0"/>
                <w:color w:val="000000"/>
                <w:sz w:val="32"/>
                <w:szCs w:val="40"/>
                <w:vertAlign w:val="baseline"/>
                <w:lang w:val="en-US" w:eastAsia="zh-CN"/>
              </w:rPr>
              <w:t>联想</w:t>
            </w:r>
          </w:p>
        </w:tc>
      </w:tr>
      <w:tr w14:paraId="408267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232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EDF1F9" w:themeFill="accent1" w:themeFillTint="19"/>
            <w:noWrap w:val="0"/>
            <w:tcMar>
              <w:top w:w="-1" w:type="dxa"/>
              <w:left w:w="-1" w:type="dxa"/>
              <w:bottom w:w="-1" w:type="dxa"/>
              <w:right w:w="-1" w:type="dxa"/>
            </w:tcMar>
            <w:vAlign w:val="center"/>
          </w:tcPr>
          <w:p w14:paraId="09A6B059">
            <w:pPr>
              <w:keepNext/>
              <w:snapToGrid w:val="0"/>
              <w:ind w:left="0" w:leftChars="0" w:right="0" w:rightChars="0" w:firstLine="0" w:firstLineChars="0"/>
              <w:jc w:val="center"/>
              <w:rPr>
                <w:rFonts w:hint="default"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val="0"/>
                <w:i w:val="0"/>
                <w:color w:val="000000"/>
                <w:sz w:val="32"/>
                <w:szCs w:val="40"/>
                <w:vertAlign w:val="baseline"/>
                <w:lang w:val="en-US" w:eastAsia="zh-CN"/>
              </w:rPr>
              <w:t>互联网</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noWrap w:val="0"/>
            <w:tcMar>
              <w:top w:w="-1" w:type="dxa"/>
              <w:left w:w="-1" w:type="dxa"/>
              <w:bottom w:w="-1" w:type="dxa"/>
              <w:right w:w="-1" w:type="dxa"/>
            </w:tcMar>
            <w:vAlign w:val="center"/>
          </w:tcPr>
          <w:p w14:paraId="09E719CB">
            <w:pPr>
              <w:keepNext/>
              <w:snapToGrid w:val="0"/>
              <w:ind w:left="0" w:leftChars="0" w:right="0" w:rightChars="0" w:firstLine="0" w:firstLineChars="0"/>
              <w:jc w:val="left"/>
              <w:rPr>
                <w:rFonts w:hint="default"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val="0"/>
                <w:i w:val="0"/>
                <w:color w:val="000000"/>
                <w:sz w:val="32"/>
                <w:szCs w:val="40"/>
                <w:vertAlign w:val="baseline"/>
                <w:lang w:val="en-US" w:eastAsia="zh-CN"/>
              </w:rPr>
              <w:t>Google，Amazon</w:t>
            </w:r>
          </w:p>
        </w:tc>
        <w:tc>
          <w:tcPr>
            <w:tcW w:w="414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9" w:themeFill="accent1" w:themeFillTint="19"/>
            <w:noWrap w:val="0"/>
            <w:tcMar>
              <w:top w:w="-1" w:type="dxa"/>
              <w:left w:w="-1" w:type="dxa"/>
              <w:bottom w:w="-1" w:type="dxa"/>
              <w:right w:w="-1" w:type="dxa"/>
            </w:tcMar>
            <w:vAlign w:val="center"/>
          </w:tcPr>
          <w:p w14:paraId="6E842B3A">
            <w:pPr>
              <w:keepNext/>
              <w:snapToGrid w:val="0"/>
              <w:ind w:left="0" w:leftChars="0" w:right="0" w:rightChars="0" w:firstLine="0" w:firstLineChars="0"/>
              <w:jc w:val="left"/>
              <w:rPr>
                <w:rFonts w:hint="default"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val="0"/>
                <w:i w:val="0"/>
                <w:color w:val="000000"/>
                <w:sz w:val="32"/>
                <w:szCs w:val="40"/>
                <w:vertAlign w:val="baseline"/>
                <w:lang w:val="en-US" w:eastAsia="zh-CN"/>
              </w:rPr>
              <w:t>百度，阿里，京东，拼多多，美团</w:t>
            </w:r>
          </w:p>
        </w:tc>
      </w:tr>
      <w:tr w14:paraId="7BC2F4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232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7E0BC0E2">
            <w:pPr>
              <w:keepNext/>
              <w:snapToGrid w:val="0"/>
              <w:ind w:left="0" w:leftChars="0" w:right="0" w:rightChars="0" w:firstLine="0" w:firstLineChars="0"/>
              <w:jc w:val="center"/>
              <w:rPr>
                <w:rFonts w:hint="eastAsia"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val="0"/>
                <w:i w:val="0"/>
                <w:color w:val="000000"/>
                <w:sz w:val="32"/>
                <w:szCs w:val="40"/>
                <w:vertAlign w:val="baseline"/>
                <w:lang w:val="en-US" w:eastAsia="zh-CN"/>
              </w:rPr>
              <w:t>移动互联网</w:t>
            </w:r>
          </w:p>
          <w:p w14:paraId="69172EDB">
            <w:pPr>
              <w:keepNext/>
              <w:snapToGrid w:val="0"/>
              <w:ind w:left="0" w:leftChars="0" w:right="0" w:rightChars="0" w:firstLine="0" w:firstLineChars="0"/>
              <w:jc w:val="center"/>
              <w:rPr>
                <w:rFonts w:hint="default"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val="0"/>
                <w:i w:val="0"/>
                <w:color w:val="000000"/>
                <w:sz w:val="32"/>
                <w:szCs w:val="40"/>
                <w:vertAlign w:val="baseline"/>
                <w:lang w:val="en-US" w:eastAsia="zh-CN"/>
              </w:rPr>
              <w:t>（社交媒体）</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6E9CABF3">
            <w:pPr>
              <w:keepNext/>
              <w:snapToGrid w:val="0"/>
              <w:ind w:left="0" w:leftChars="0" w:right="0" w:rightChars="0" w:firstLine="0" w:firstLineChars="0"/>
              <w:jc w:val="left"/>
              <w:rPr>
                <w:rFonts w:hint="default"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val="0"/>
                <w:i w:val="0"/>
                <w:color w:val="000000"/>
                <w:sz w:val="32"/>
                <w:szCs w:val="40"/>
                <w:vertAlign w:val="baseline"/>
                <w:lang w:val="en-US" w:eastAsia="zh-CN"/>
              </w:rPr>
              <w:t>Apple，Qualcomm，Facebook，YouTube</w:t>
            </w:r>
          </w:p>
        </w:tc>
        <w:tc>
          <w:tcPr>
            <w:tcW w:w="414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0"/>
            <w:tcMar>
              <w:top w:w="-1" w:type="dxa"/>
              <w:left w:w="-1" w:type="dxa"/>
              <w:bottom w:w="-1" w:type="dxa"/>
              <w:right w:w="-1" w:type="dxa"/>
            </w:tcMar>
            <w:vAlign w:val="center"/>
          </w:tcPr>
          <w:p w14:paraId="6ADBD763">
            <w:pPr>
              <w:keepNext/>
              <w:snapToGrid w:val="0"/>
              <w:ind w:left="0" w:leftChars="0" w:right="0" w:rightChars="0" w:firstLine="0" w:firstLineChars="0"/>
              <w:jc w:val="left"/>
              <w:rPr>
                <w:rFonts w:hint="default"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val="0"/>
                <w:i w:val="0"/>
                <w:color w:val="000000"/>
                <w:sz w:val="32"/>
                <w:szCs w:val="40"/>
                <w:vertAlign w:val="baseline"/>
                <w:lang w:val="en-US" w:eastAsia="zh-CN"/>
              </w:rPr>
              <w:t>华为，小米，腾讯（微信），字节跳动（抖音），小红书</w:t>
            </w:r>
          </w:p>
        </w:tc>
      </w:tr>
      <w:tr w14:paraId="6FB9F1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232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EDF1F9" w:themeFill="accent1" w:themeFillTint="19"/>
            <w:noWrap w:val="0"/>
            <w:tcMar>
              <w:top w:w="-1" w:type="dxa"/>
              <w:left w:w="-1" w:type="dxa"/>
              <w:bottom w:w="-1" w:type="dxa"/>
              <w:right w:w="-1" w:type="dxa"/>
            </w:tcMar>
            <w:vAlign w:val="center"/>
          </w:tcPr>
          <w:p w14:paraId="76CA0036">
            <w:pPr>
              <w:keepNext/>
              <w:snapToGrid w:val="0"/>
              <w:ind w:left="0" w:leftChars="0" w:right="0" w:rightChars="0" w:firstLine="0" w:firstLineChars="0"/>
              <w:jc w:val="center"/>
              <w:rPr>
                <w:rFonts w:hint="default"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val="0"/>
                <w:i w:val="0"/>
                <w:color w:val="000000"/>
                <w:sz w:val="32"/>
                <w:szCs w:val="40"/>
                <w:vertAlign w:val="baseline"/>
                <w:lang w:val="en-US" w:eastAsia="zh-CN"/>
              </w:rPr>
              <w:t>新能源</w:t>
            </w:r>
            <w:r>
              <w:rPr>
                <w:rFonts w:hint="eastAsia" w:ascii="方正仿宋_GB2312" w:hAnsi="方正仿宋_GB2312" w:eastAsia="方正仿宋_GB2312" w:cs="方正仿宋_GB2312"/>
                <w:b w:val="0"/>
                <w:i w:val="0"/>
                <w:color w:val="000000"/>
                <w:sz w:val="32"/>
                <w:szCs w:val="40"/>
                <w:vertAlign w:val="baseline"/>
                <w:lang w:val="en-US" w:eastAsia="zh-CN"/>
              </w:rPr>
              <w:br w:type="textWrapping"/>
            </w:r>
            <w:r>
              <w:rPr>
                <w:rFonts w:hint="eastAsia" w:ascii="方正仿宋_GB2312" w:hAnsi="方正仿宋_GB2312" w:eastAsia="方正仿宋_GB2312" w:cs="方正仿宋_GB2312"/>
                <w:b w:val="0"/>
                <w:i w:val="0"/>
                <w:color w:val="000000"/>
                <w:sz w:val="32"/>
                <w:szCs w:val="40"/>
                <w:vertAlign w:val="baseline"/>
                <w:lang w:val="en-US" w:eastAsia="zh-CN"/>
              </w:rPr>
              <w:t>（自动驾驶）</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noWrap w:val="0"/>
            <w:tcMar>
              <w:top w:w="-1" w:type="dxa"/>
              <w:left w:w="-1" w:type="dxa"/>
              <w:bottom w:w="-1" w:type="dxa"/>
              <w:right w:w="-1" w:type="dxa"/>
            </w:tcMar>
            <w:vAlign w:val="center"/>
          </w:tcPr>
          <w:p w14:paraId="2EEF8DE5">
            <w:pPr>
              <w:keepNext/>
              <w:snapToGrid w:val="0"/>
              <w:ind w:left="0" w:leftChars="0" w:right="0" w:rightChars="0" w:firstLine="0" w:firstLineChars="0"/>
              <w:jc w:val="left"/>
              <w:rPr>
                <w:rFonts w:hint="default"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val="0"/>
                <w:i w:val="0"/>
                <w:color w:val="000000"/>
                <w:sz w:val="32"/>
                <w:szCs w:val="40"/>
                <w:vertAlign w:val="baseline"/>
                <w:lang w:val="en-US" w:eastAsia="zh-CN"/>
              </w:rPr>
              <w:t>Tesla</w:t>
            </w:r>
          </w:p>
        </w:tc>
        <w:tc>
          <w:tcPr>
            <w:tcW w:w="414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9" w:themeFill="accent1" w:themeFillTint="19"/>
            <w:noWrap w:val="0"/>
            <w:tcMar>
              <w:top w:w="-1" w:type="dxa"/>
              <w:left w:w="-1" w:type="dxa"/>
              <w:bottom w:w="-1" w:type="dxa"/>
              <w:right w:w="-1" w:type="dxa"/>
            </w:tcMar>
            <w:vAlign w:val="center"/>
          </w:tcPr>
          <w:p w14:paraId="2536A078">
            <w:pPr>
              <w:keepNext/>
              <w:snapToGrid w:val="0"/>
              <w:ind w:left="0" w:leftChars="0" w:right="0" w:rightChars="0" w:firstLine="0" w:firstLineChars="0"/>
              <w:jc w:val="left"/>
              <w:rPr>
                <w:rFonts w:hint="default"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bCs/>
                <w:color w:val="0000FF"/>
                <w:sz w:val="32"/>
                <w:szCs w:val="40"/>
                <w:lang w:val="en-US" w:eastAsia="zh-CN"/>
              </w:rPr>
              <w:t>比亚迪，宁德时代</w:t>
            </w:r>
          </w:p>
        </w:tc>
      </w:tr>
      <w:tr w14:paraId="32B2A6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2327"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3DB5FC81">
            <w:pPr>
              <w:keepNext/>
              <w:snapToGrid w:val="0"/>
              <w:ind w:left="0" w:leftChars="0" w:right="0" w:rightChars="0" w:firstLine="0" w:firstLineChars="0"/>
              <w:jc w:val="center"/>
              <w:rPr>
                <w:rFonts w:hint="default"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val="0"/>
                <w:i w:val="0"/>
                <w:color w:val="000000"/>
                <w:sz w:val="32"/>
                <w:szCs w:val="40"/>
                <w:vertAlign w:val="baseline"/>
                <w:lang w:val="en-US" w:eastAsia="zh-CN"/>
              </w:rPr>
              <w:t>AI</w:t>
            </w:r>
          </w:p>
        </w:tc>
        <w:tc>
          <w:tcPr>
            <w:tcW w:w="349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4EBF2373">
            <w:pPr>
              <w:keepNext/>
              <w:snapToGrid w:val="0"/>
              <w:ind w:left="0" w:leftChars="0" w:right="0" w:rightChars="0" w:firstLine="0" w:firstLineChars="0"/>
              <w:jc w:val="left"/>
              <w:rPr>
                <w:rFonts w:hint="eastAsia"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val="0"/>
                <w:i w:val="0"/>
                <w:color w:val="000000"/>
                <w:sz w:val="32"/>
                <w:szCs w:val="40"/>
                <w:vertAlign w:val="baseline"/>
                <w:lang w:val="en-US" w:eastAsia="zh-CN"/>
              </w:rPr>
              <w:t>NVidia，Google，</w:t>
            </w:r>
          </w:p>
          <w:p w14:paraId="6BF1E048">
            <w:pPr>
              <w:keepNext/>
              <w:snapToGrid w:val="0"/>
              <w:ind w:left="0" w:leftChars="0" w:right="0" w:rightChars="0" w:firstLine="0" w:firstLineChars="0"/>
              <w:jc w:val="left"/>
              <w:rPr>
                <w:rFonts w:hint="eastAsia"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val="0"/>
                <w:i w:val="0"/>
                <w:color w:val="000000"/>
                <w:sz w:val="32"/>
                <w:szCs w:val="40"/>
                <w:vertAlign w:val="baseline"/>
                <w:lang w:val="en-US" w:eastAsia="zh-CN"/>
              </w:rPr>
              <w:t>OpenAI，Anthropic，</w:t>
            </w:r>
          </w:p>
          <w:p w14:paraId="2CD1793F">
            <w:pPr>
              <w:keepNext/>
              <w:snapToGrid w:val="0"/>
              <w:ind w:left="0" w:leftChars="0" w:right="0" w:rightChars="0" w:firstLine="0" w:firstLineChars="0"/>
              <w:jc w:val="left"/>
              <w:rPr>
                <w:rFonts w:hint="default"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val="0"/>
                <w:i w:val="0"/>
                <w:color w:val="000000"/>
                <w:sz w:val="32"/>
                <w:szCs w:val="40"/>
                <w:vertAlign w:val="baseline"/>
                <w:lang w:val="en-US" w:eastAsia="zh-CN"/>
              </w:rPr>
              <w:t>Tesla，Boston Dynamics</w:t>
            </w:r>
          </w:p>
        </w:tc>
        <w:tc>
          <w:tcPr>
            <w:tcW w:w="4145"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noWrap w:val="0"/>
            <w:tcMar>
              <w:top w:w="-1" w:type="dxa"/>
              <w:left w:w="-1" w:type="dxa"/>
              <w:bottom w:w="-1" w:type="dxa"/>
              <w:right w:w="-1" w:type="dxa"/>
            </w:tcMar>
            <w:vAlign w:val="center"/>
          </w:tcPr>
          <w:p w14:paraId="20698A23">
            <w:pPr>
              <w:keepNext/>
              <w:snapToGrid w:val="0"/>
              <w:ind w:left="0" w:leftChars="0" w:right="0" w:rightChars="0" w:firstLine="0" w:firstLineChars="0"/>
              <w:jc w:val="left"/>
              <w:rPr>
                <w:rFonts w:hint="eastAsia"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bCs/>
                <w:color w:val="0000FF"/>
                <w:sz w:val="32"/>
                <w:szCs w:val="40"/>
                <w:lang w:val="en-US" w:eastAsia="zh-CN"/>
              </w:rPr>
              <w:t>寒武纪</w:t>
            </w:r>
            <w:r>
              <w:rPr>
                <w:rFonts w:hint="eastAsia" w:ascii="方正仿宋_GB2312" w:hAnsi="方正仿宋_GB2312" w:eastAsia="方正仿宋_GB2312" w:cs="方正仿宋_GB2312"/>
                <w:b w:val="0"/>
                <w:i w:val="0"/>
                <w:color w:val="000000"/>
                <w:sz w:val="32"/>
                <w:szCs w:val="40"/>
                <w:vertAlign w:val="baseline"/>
                <w:lang w:val="en-US" w:eastAsia="zh-CN"/>
              </w:rPr>
              <w:t>，清微智能，</w:t>
            </w:r>
          </w:p>
          <w:p w14:paraId="487F03CE">
            <w:pPr>
              <w:keepNext/>
              <w:snapToGrid w:val="0"/>
              <w:ind w:left="0" w:leftChars="0" w:right="0" w:rightChars="0" w:firstLine="0" w:firstLineChars="0"/>
              <w:jc w:val="left"/>
              <w:rPr>
                <w:rFonts w:hint="eastAsia"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val="0"/>
                <w:i w:val="0"/>
                <w:color w:val="000000"/>
                <w:sz w:val="32"/>
                <w:szCs w:val="40"/>
                <w:vertAlign w:val="baseline"/>
                <w:lang w:val="en-US" w:eastAsia="zh-CN"/>
              </w:rPr>
              <w:t>阿里，</w:t>
            </w:r>
            <w:r>
              <w:rPr>
                <w:rFonts w:hint="eastAsia" w:ascii="方正仿宋_GB2312" w:hAnsi="方正仿宋_GB2312" w:eastAsia="方正仿宋_GB2312" w:cs="方正仿宋_GB2312"/>
                <w:b/>
                <w:bCs/>
                <w:color w:val="0000FF"/>
                <w:sz w:val="32"/>
                <w:szCs w:val="40"/>
                <w:lang w:val="en-US" w:eastAsia="zh-CN"/>
              </w:rPr>
              <w:t>MiniMax</w:t>
            </w:r>
            <w:r>
              <w:rPr>
                <w:rFonts w:hint="eastAsia" w:ascii="方正仿宋_GB2312" w:hAnsi="方正仿宋_GB2312" w:eastAsia="方正仿宋_GB2312" w:cs="方正仿宋_GB2312"/>
                <w:b w:val="0"/>
                <w:i w:val="0"/>
                <w:color w:val="000000"/>
                <w:sz w:val="32"/>
                <w:szCs w:val="40"/>
                <w:vertAlign w:val="baseline"/>
                <w:lang w:val="en-US" w:eastAsia="zh-CN"/>
              </w:rPr>
              <w:t>，Kimi，</w:t>
            </w:r>
          </w:p>
          <w:p w14:paraId="516CF1F7">
            <w:pPr>
              <w:keepNext/>
              <w:snapToGrid w:val="0"/>
              <w:ind w:left="0" w:leftChars="0" w:right="0" w:rightChars="0" w:firstLine="0" w:firstLineChars="0"/>
              <w:jc w:val="left"/>
              <w:rPr>
                <w:rFonts w:hint="default" w:ascii="方正仿宋_GB2312" w:hAnsi="方正仿宋_GB2312" w:eastAsia="方正仿宋_GB2312" w:cs="方正仿宋_GB2312"/>
                <w:b w:val="0"/>
                <w:i w:val="0"/>
                <w:color w:val="000000"/>
                <w:sz w:val="32"/>
                <w:szCs w:val="40"/>
                <w:vertAlign w:val="baseline"/>
                <w:lang w:val="en-US" w:eastAsia="zh-CN"/>
              </w:rPr>
            </w:pPr>
            <w:r>
              <w:rPr>
                <w:rFonts w:hint="eastAsia" w:ascii="方正仿宋_GB2312" w:hAnsi="方正仿宋_GB2312" w:eastAsia="方正仿宋_GB2312" w:cs="方正仿宋_GB2312"/>
                <w:b/>
                <w:bCs/>
                <w:color w:val="0000FF"/>
                <w:sz w:val="32"/>
                <w:szCs w:val="40"/>
                <w:lang w:val="en-US" w:eastAsia="zh-CN"/>
              </w:rPr>
              <w:t>宇树</w:t>
            </w:r>
            <w:r>
              <w:rPr>
                <w:rFonts w:hint="eastAsia" w:ascii="方正仿宋_GB2312" w:hAnsi="方正仿宋_GB2312" w:eastAsia="方正仿宋_GB2312" w:cs="方正仿宋_GB2312"/>
                <w:b w:val="0"/>
                <w:i w:val="0"/>
                <w:color w:val="000000"/>
                <w:sz w:val="32"/>
                <w:szCs w:val="40"/>
                <w:vertAlign w:val="baseline"/>
                <w:lang w:val="en-US" w:eastAsia="zh-CN"/>
              </w:rPr>
              <w:t>，银河通用，智元，千寻智能，智平方，自变量</w:t>
            </w:r>
          </w:p>
        </w:tc>
      </w:tr>
    </w:tbl>
    <w:p w14:paraId="5BAE1437">
      <w:pPr>
        <w:rPr>
          <w:rFonts w:hint="eastAsia" w:ascii="方正仿宋_GB2312" w:hAnsi="方正仿宋_GB2312" w:eastAsia="方正仿宋_GB2312" w:cs="方正仿宋_GB2312"/>
          <w:sz w:val="32"/>
          <w:szCs w:val="40"/>
          <w:lang w:val="en-US" w:eastAsia="zh-CN"/>
        </w:rPr>
      </w:pPr>
    </w:p>
    <w:p w14:paraId="51DC3734">
      <w:pPr>
        <w:rPr>
          <w:rFonts w:hint="default"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有没有发现（或者确认）一个规律？紧跟时代发展、估值飙升的公司，大多在Nasdaq或者港股上市，</w:t>
      </w:r>
      <w:r>
        <w:rPr>
          <w:rFonts w:hint="eastAsia" w:ascii="方正仿宋_GB2312" w:hAnsi="方正仿宋_GB2312" w:eastAsia="方正仿宋_GB2312" w:cs="方正仿宋_GB2312"/>
          <w:sz w:val="32"/>
          <w:szCs w:val="40"/>
          <w:lang w:val="en-US" w:eastAsia="zh-CN"/>
        </w:rPr>
        <w:t>不在A股</w:t>
      </w:r>
      <w:r>
        <w:rPr>
          <w:rFonts w:hint="eastAsia" w:ascii="方正仿宋_GB2312" w:hAnsi="方正仿宋_GB2312" w:eastAsia="方正仿宋_GB2312" w:cs="方正仿宋_GB2312"/>
          <w:sz w:val="32"/>
          <w:szCs w:val="40"/>
          <w:lang w:val="en-US" w:eastAsia="zh-CN"/>
        </w:rPr>
        <w:t>。比亚迪是个例外，先于2002年7月31日在港股上市，后于2011年6月30日在A股创业板（深圳）上市。如果在比亚迪A股上市后从二级市场投资买入并长期持有到现在，可有很好</w:t>
      </w:r>
      <w:bookmarkStart w:id="0" w:name="_GoBack"/>
      <w:bookmarkEnd w:id="0"/>
      <w:r>
        <w:rPr>
          <w:rFonts w:hint="eastAsia" w:ascii="方正仿宋_GB2312" w:hAnsi="方正仿宋_GB2312" w:eastAsia="方正仿宋_GB2312" w:cs="方正仿宋_GB2312"/>
          <w:sz w:val="32"/>
          <w:szCs w:val="40"/>
          <w:lang w:val="en-US" w:eastAsia="zh-CN"/>
        </w:rPr>
        <w:t>的收益。2018年6月11日在A股上市、2025年5月20日在港股上市的宁德时代，作为新能源电池对标Tesla，是另一个特别优质的新公司。</w:t>
      </w:r>
    </w:p>
    <w:p w14:paraId="524ABA7E">
      <w:pPr>
        <w:rPr>
          <w:rFonts w:hint="default" w:ascii="方正仿宋_GB2312" w:hAnsi="方正仿宋_GB2312" w:eastAsia="方正仿宋_GB2312" w:cs="方正仿宋_GB2312"/>
          <w:sz w:val="32"/>
          <w:szCs w:val="40"/>
          <w:lang w:val="en-US" w:eastAsia="zh-CN"/>
        </w:rPr>
      </w:pPr>
    </w:p>
    <w:p w14:paraId="6F83B424">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那么问题来了，错过了以前的新能源、移动互联网、PC，是否可以复盘总结一下：在AI时代，有哪些优秀的新公司，我们可从A股二级市场投资买入？</w:t>
      </w:r>
    </w:p>
    <w:p w14:paraId="67712B57">
      <w:pPr>
        <w:rPr>
          <w:rFonts w:hint="eastAsia" w:ascii="方正仿宋_GB2312" w:hAnsi="方正仿宋_GB2312" w:eastAsia="方正仿宋_GB2312" w:cs="方正仿宋_GB2312"/>
          <w:sz w:val="32"/>
          <w:szCs w:val="40"/>
          <w:lang w:val="en-US" w:eastAsia="zh-CN"/>
        </w:rPr>
      </w:pPr>
    </w:p>
    <w:p w14:paraId="1D6DC875">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收集了很多AI相关的创业公司，少量已在A股和H股上市：</w:t>
      </w:r>
    </w:p>
    <w:p w14:paraId="76CA7378">
      <w:pPr>
        <w:rPr>
          <w:rFonts w:hint="eastAsia" w:ascii="方正仿宋_GB2312" w:hAnsi="方正仿宋_GB2312" w:eastAsia="方正仿宋_GB2312" w:cs="方正仿宋_GB2312"/>
          <w:sz w:val="32"/>
          <w:szCs w:val="40"/>
          <w:lang w:val="en-US" w:eastAsia="zh-CN"/>
        </w:rPr>
      </w:pPr>
    </w:p>
    <w:p w14:paraId="0DDB0178">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b/>
          <w:bCs/>
          <w:color w:val="0000FF"/>
          <w:sz w:val="32"/>
          <w:szCs w:val="40"/>
          <w:lang w:val="en-US" w:eastAsia="zh-CN"/>
        </w:rPr>
        <w:t>寒武纪，AI芯片厂商</w:t>
      </w:r>
      <w:r>
        <w:rPr>
          <w:rFonts w:hint="eastAsia" w:ascii="方正仿宋_GB2312" w:hAnsi="方正仿宋_GB2312" w:eastAsia="方正仿宋_GB2312" w:cs="方正仿宋_GB2312"/>
          <w:sz w:val="32"/>
          <w:szCs w:val="40"/>
          <w:lang w:val="en-US" w:eastAsia="zh-CN"/>
        </w:rPr>
        <w:t>，2020年07月20在A股科创板（上海）上市，2025年报开始赢利，股价上涨相当可观。</w:t>
      </w:r>
    </w:p>
    <w:p w14:paraId="5B12585D">
      <w:pPr>
        <w:rPr>
          <w:rFonts w:hint="eastAsia" w:ascii="方正仿宋_GB2312" w:hAnsi="方正仿宋_GB2312" w:eastAsia="方正仿宋_GB2312" w:cs="方正仿宋_GB2312"/>
          <w:sz w:val="32"/>
          <w:szCs w:val="40"/>
          <w:lang w:val="en-US" w:eastAsia="zh-CN"/>
        </w:rPr>
      </w:pPr>
    </w:p>
    <w:p w14:paraId="7E740133">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b/>
          <w:bCs/>
          <w:color w:val="0000FF"/>
          <w:sz w:val="32"/>
          <w:szCs w:val="40"/>
          <w:lang w:val="en-US" w:eastAsia="zh-CN"/>
        </w:rPr>
        <w:t>MiniMax，大模型厂商和AI平台</w:t>
      </w:r>
      <w:r>
        <w:rPr>
          <w:rFonts w:hint="eastAsia" w:ascii="方正仿宋_GB2312" w:hAnsi="方正仿宋_GB2312" w:eastAsia="方正仿宋_GB2312" w:cs="方正仿宋_GB2312"/>
          <w:sz w:val="32"/>
          <w:szCs w:val="40"/>
          <w:lang w:val="en-US" w:eastAsia="zh-CN"/>
        </w:rPr>
        <w:t>，2026年1月9日在港股上市，2025年报靓丽，短短2个月股价一路飙升约5倍。</w:t>
      </w:r>
    </w:p>
    <w:p w14:paraId="56448BEF">
      <w:pPr>
        <w:rPr>
          <w:rFonts w:hint="eastAsia" w:ascii="方正仿宋_GB2312" w:hAnsi="方正仿宋_GB2312" w:eastAsia="方正仿宋_GB2312" w:cs="方正仿宋_GB2312"/>
          <w:sz w:val="32"/>
          <w:szCs w:val="40"/>
          <w:lang w:val="en-US" w:eastAsia="zh-CN"/>
        </w:rPr>
      </w:pPr>
    </w:p>
    <w:p w14:paraId="0F799EA4">
      <w:pPr>
        <w:rPr>
          <w:rFonts w:hint="eastAsia" w:ascii="方正仿宋_GB2312" w:hAnsi="方正仿宋_GB2312" w:eastAsia="方正仿宋_GB2312" w:cs="方正仿宋_GB2312"/>
          <w:sz w:val="32"/>
          <w:szCs w:val="40"/>
          <w:lang w:val="en-US" w:eastAsia="zh-CN"/>
        </w:rPr>
      </w:pPr>
      <w:r>
        <w:rPr>
          <w:rFonts w:hint="eastAsia" w:ascii="方正仿宋_GB2312" w:hAnsi="方正仿宋_GB2312" w:eastAsia="方正仿宋_GB2312" w:cs="方正仿宋_GB2312"/>
          <w:sz w:val="32"/>
          <w:szCs w:val="40"/>
          <w:lang w:val="en-US" w:eastAsia="zh-CN"/>
        </w:rPr>
        <w:t>重点关注的其他几家机器人创业公司，一部分有了上市计划，一部分仍在快速发展阶段，近期很多融资消息，重点关注。</w:t>
      </w:r>
    </w:p>
    <w:p w14:paraId="70A5CEFB">
      <w:pPr>
        <w:rPr>
          <w:rFonts w:hint="eastAsia" w:ascii="方正仿宋_GB2312" w:hAnsi="方正仿宋_GB2312" w:eastAsia="方正仿宋_GB2312" w:cs="方正仿宋_GB2312"/>
          <w:sz w:val="32"/>
          <w:szCs w:val="40"/>
          <w:lang w:val="en-US" w:eastAsia="zh-CN"/>
        </w:rPr>
      </w:pPr>
    </w:p>
    <w:p w14:paraId="56131ED6">
      <w:pPr>
        <w:rPr>
          <w:rFonts w:hint="default" w:ascii="方正仿宋_GB2312" w:hAnsi="方正仿宋_GB2312" w:eastAsia="方正仿宋_GB2312" w:cs="方正仿宋_GB2312"/>
          <w:b/>
          <w:bCs/>
          <w:color w:val="FF0000"/>
          <w:sz w:val="32"/>
          <w:szCs w:val="40"/>
          <w:lang w:val="en-US" w:eastAsia="zh-CN"/>
        </w:rPr>
      </w:pPr>
      <w:r>
        <w:rPr>
          <w:rFonts w:hint="eastAsia" w:ascii="方正仿宋_GB2312" w:hAnsi="方正仿宋_GB2312" w:eastAsia="方正仿宋_GB2312" w:cs="方正仿宋_GB2312"/>
          <w:b/>
          <w:bCs/>
          <w:color w:val="FF0000"/>
          <w:sz w:val="32"/>
          <w:szCs w:val="40"/>
          <w:lang w:val="en-US" w:eastAsia="zh-CN"/>
        </w:rPr>
        <w:t>从首富差距想到如何跟上AI时代，从二级市场买入新上市的AI创业公司股票，长期持有，也是我们普通人的一个可选项吧。</w:t>
      </w:r>
    </w:p>
    <w:p w14:paraId="0B9E9162">
      <w:pPr>
        <w:rPr>
          <w:rFonts w:hint="eastAsia" w:ascii="方正仿宋_GB2312" w:hAnsi="方正仿宋_GB2312" w:eastAsia="方正仿宋_GB2312" w:cs="方正仿宋_GB2312"/>
          <w:sz w:val="32"/>
          <w:szCs w:val="40"/>
          <w:lang w:val="en-US" w:eastAsia="zh-CN"/>
        </w:rPr>
      </w:pPr>
    </w:p>
    <w:p w14:paraId="3F21144D">
      <w:pPr>
        <w:rPr>
          <w:rFonts w:hint="default" w:ascii="方正仿宋_GB2312" w:hAnsi="方正仿宋_GB2312" w:eastAsia="方正仿宋_GB2312" w:cs="方正仿宋_GB2312"/>
          <w:sz w:val="32"/>
          <w:szCs w:val="40"/>
          <w:lang w:val="en-US" w:eastAsia="zh-CN"/>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939F8"/>
    <w:rsid w:val="030012A9"/>
    <w:rsid w:val="04410000"/>
    <w:rsid w:val="08187CF1"/>
    <w:rsid w:val="0A5A69C8"/>
    <w:rsid w:val="0D0A59E7"/>
    <w:rsid w:val="0EC43258"/>
    <w:rsid w:val="0FAE4903"/>
    <w:rsid w:val="124C1FA9"/>
    <w:rsid w:val="14BE0FAA"/>
    <w:rsid w:val="14F87923"/>
    <w:rsid w:val="15DF2175"/>
    <w:rsid w:val="18E33BC0"/>
    <w:rsid w:val="19A568DB"/>
    <w:rsid w:val="216C6FEF"/>
    <w:rsid w:val="24560BA8"/>
    <w:rsid w:val="2481372D"/>
    <w:rsid w:val="28135F46"/>
    <w:rsid w:val="28935663"/>
    <w:rsid w:val="29046C57"/>
    <w:rsid w:val="2A0A43E5"/>
    <w:rsid w:val="320845D5"/>
    <w:rsid w:val="34900151"/>
    <w:rsid w:val="3A4A7828"/>
    <w:rsid w:val="3FDC407C"/>
    <w:rsid w:val="41D56D2D"/>
    <w:rsid w:val="428A021B"/>
    <w:rsid w:val="45026BC2"/>
    <w:rsid w:val="48B46CE7"/>
    <w:rsid w:val="497F277B"/>
    <w:rsid w:val="4B4E33E1"/>
    <w:rsid w:val="4B871BC2"/>
    <w:rsid w:val="4B8B1AAF"/>
    <w:rsid w:val="4C5D0ED5"/>
    <w:rsid w:val="4E303FE6"/>
    <w:rsid w:val="54E80804"/>
    <w:rsid w:val="598F77BB"/>
    <w:rsid w:val="5AD372A7"/>
    <w:rsid w:val="5EA67337"/>
    <w:rsid w:val="63067903"/>
    <w:rsid w:val="656C01D4"/>
    <w:rsid w:val="6A8C7CC9"/>
    <w:rsid w:val="6AD841D0"/>
    <w:rsid w:val="6BD33AB4"/>
    <w:rsid w:val="6E143397"/>
    <w:rsid w:val="772D5D4E"/>
    <w:rsid w:val="786628A7"/>
    <w:rsid w:val="7C0229F3"/>
    <w:rsid w:val="7C770140"/>
    <w:rsid w:val="7E451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2026-03-08T08:44:24Z</dcterms:created>
  <dc:creator>dingxl</dc:creator>
  <cp:lastModifiedBy>Ding</cp:lastModifiedBy>
  <dcterms:modified xsi:type="dcterms:W3CDTF">2026-03-08T10:01:59Z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eyJoZGlkIjoiMzkyZDI2NjQyZmJjYjkzMTgwNTVkMWJhZWU3YmFkYjYiLCJ1c2VySWQiOiIxMTI2MTY0NTY2In0=</vt:lpwstr>
  </property>
  <property fmtid="{D5CDD505-2E9C-101B-9397-08002B2CF9AE}" pid="4" name="ICV">
    <vt:lpwstr>BD7D6E52F7D347BAA839D56087C120BD_12</vt:lpwstr>
  </property>
</Properties>
</file>