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89"/>
        <w:tblInd w:w="-601" w:type="dxa"/>
        <w:tblW w:w="10207" w:type="dxa"/>
        <w:tblBorders/>
        <w:tblLayout w:type="fixed"/>
        <w:tblLook w:val="0000" w:firstRow="0" w:lastRow="0" w:firstColumn="0" w:lastColumn="0" w:noHBand="0" w:noVBand="0"/>
      </w:tblPr>
      <w:tblGrid>
        <w:gridCol w:w="5529"/>
        <w:gridCol w:w="4678"/>
      </w:tblGrid>
      <w:tr>
        <w:trPr>
          <w:trHeight w:val="986"/>
        </w:trPr>
        <w:tc>
          <w:tcPr>
            <w:tcBorders/>
            <w:tcW w:w="5529" w:type="dxa"/>
          </w:tcPr>
          <w:p w14:paraId="35C8AECC" w14:textId="596A347D">
            <w:pPr>
              <w:pBdr/>
              <w:spacing w:after="0" w:line="240" w:lineRule="auto"/>
              <w:ind/>
              <w:jc w:val="center"/>
              <w:rPr>
                <w:lang w:val="en-US"/>
              </w:rPr>
            </w:pPr>
            <w:r/>
            <w:bookmarkStart w:id="0" w:name="_heading=h.6443ggz7tvii"/>
            <w:r/>
            <w:bookmarkEnd w:id="0"/>
            <w:r>
              <w:br w:type="page" w:clear="all"/>
            </w:r>
            <w:bookmarkStart w:id="1" w:name="_heading=h.wzkvu2gro5tu"/>
            <w:r/>
            <w:bookmarkEnd w:id="1"/>
            <w:r>
              <w:t xml:space="preserve">BAN CHẤP HÀNH TRUNG ƯƠNG</w:t>
            </w:r>
            <w:r>
              <w:rPr>
                <w:lang w:val="en-US"/>
              </w:rPr>
            </w:r>
          </w:p>
          <w:p w14:paraId="6EE693C9" w14:textId="77777777">
            <w:pPr>
              <w:pBdr/>
              <w:spacing w:after="0" w:line="240" w:lineRule="auto"/>
              <w:ind/>
              <w:jc w:val="center"/>
              <w:rPr>
                <w:b/>
                <w:bCs/>
              </w:rPr>
            </w:pPr>
            <w:r>
              <w:rPr>
                <w:b/>
                <w:bCs/>
              </w:rPr>
              <w:t xml:space="preserve">NHÀ XUẤT BẢN </w:t>
            </w:r>
            <w:r>
              <w:rPr>
                <w:b/>
                <w:bCs/>
              </w:rPr>
            </w:r>
          </w:p>
          <w:p w14:paraId="1EC07165" w14:textId="77777777">
            <w:pPr>
              <w:pBdr/>
              <w:spacing w:after="0" w:line="240" w:lineRule="auto"/>
              <w:ind/>
              <w:jc w:val="center"/>
              <w:rPr>
                <w:b/>
                <w:bCs/>
              </w:rPr>
            </w:pPr>
            <w:r>
              <w:rPr>
                <w:b/>
                <w:bCs/>
              </w:rPr>
              <w:t xml:space="preserve">CHÍNH TRỊ QUỐC GIA SỰ THẬT</w:t>
            </w:r>
            <w:r>
              <w:rPr>
                <w:b/>
                <w:bCs/>
              </w:rPr>
            </w:r>
          </w:p>
          <w:p w14:paraId="57CAEE68" w14:textId="77777777">
            <w:pPr>
              <w:pBdr/>
              <w:spacing w:after="0" w:line="240" w:lineRule="auto"/>
              <w:ind/>
              <w:jc w:val="center"/>
              <w:rPr>
                <w:b/>
                <w:bCs/>
              </w:rPr>
            </w:pPr>
            <w:r>
              <w:rPr>
                <w:b/>
                <w:bCs/>
              </w:rPr>
              <w:t xml:space="preserve">*</w:t>
            </w:r>
            <w:r>
              <w:rPr>
                <w:b/>
                <w:bCs/>
              </w:rPr>
            </w:r>
          </w:p>
          <w:p w14:paraId="1F28E6E5" w14:textId="43E60852">
            <w:pPr>
              <w:pBdr/>
              <w:spacing w:after="0" w:line="240" w:lineRule="auto"/>
              <w:ind/>
              <w:jc w:val="center"/>
              <w:rPr/>
            </w:pPr>
            <w:r>
              <w:rPr>
                <w:b/>
                <w:bCs/>
              </w:rPr>
              <w:t xml:space="preserve">Số </w:t>
            </w:r>
            <w:r>
              <w:rPr>
                <w:lang w:val="en-US"/>
              </w:rPr>
              <w:t xml:space="preserve"> </w:t>
            </w:r>
            <w:r>
              <w:rPr>
                <w:b/>
                <w:bCs/>
                <w:lang w:val="en-US"/>
              </w:rPr>
              <w:t xml:space="preserve">12/2026/HĐTV-NXB</w:t>
            </w:r>
            <w:r>
              <w:rPr>
                <w:b/>
                <w:bCs/>
                <w:spacing w:val="-10"/>
                <w:lang w:val="en-US"/>
              </w:rPr>
              <w:t xml:space="preserve"/>
            </w:r>
            <w:r>
              <w:rPr>
                <w:b/>
                <w:bCs/>
                <w:spacing w:val="-10"/>
                <w:lang w:val="en-US"/>
              </w:rPr>
              <w:t xml:space="preserve"/>
            </w:r>
            <w:r>
              <w:rPr>
                <w:b/>
                <w:bCs/>
                <w:spacing w:val="-10"/>
                <w:lang w:val="en-US"/>
              </w:rPr>
              <w:t xml:space="preserve"/>
            </w:r>
            <w:r>
              <w:rPr>
                <w:b/>
                <w:bCs/>
                <w:spacing w:val="-10"/>
                <w:lang w:val="en-US"/>
              </w:rPr>
              <w:t xml:space="preserve">-</w:t>
            </w:r>
            <w:r>
              <w:rPr>
                <w:lang w:val="en-US"/>
              </w:rPr>
              <w:t xml:space="preserve">-HĐTV</w:t>
            </w:r>
            <w:r>
              <w:t xml:space="preserve">/NXBCTQGST</w:t>
            </w:r>
            <w:r/>
          </w:p>
          <w:p w14:paraId="7F2EB43B" w14:textId="77777777">
            <w:pPr>
              <w:pBdr/>
              <w:spacing w:after="0" w:line="240" w:lineRule="auto"/>
              <w:ind/>
              <w:rPr>
                <w:b/>
                <w:bCs/>
              </w:rPr>
            </w:pPr>
            <w:r>
              <w:rPr>
                <w:b/>
                <w:bCs/>
              </w:rPr>
            </w:r>
            <w:r>
              <w:rPr>
                <w:b/>
                <w:bCs/>
              </w:rPr>
            </w:r>
          </w:p>
        </w:tc>
        <w:tc>
          <w:tcPr>
            <w:tcBorders/>
            <w:tcW w:w="4678" w:type="dxa"/>
          </w:tcPr>
          <w:p w14:paraId="3DC541DB" w14:textId="2EDA676E">
            <w:pPr>
              <w:pBdr/>
              <w:spacing w:after="0" w:line="240" w:lineRule="auto"/>
              <w:ind/>
              <w:jc w:val="center"/>
              <w:rPr>
                <w:b/>
                <w:bCs/>
                <w:sz w:val="30"/>
                <w:szCs w:val="30"/>
              </w:rPr>
            </w:pPr>
            <w:r>
              <w:rPr>
                <w:b/>
                <w:bCs/>
                <w:sz w:val="30"/>
                <w:szCs w:val="30"/>
              </w:rPr>
              <w:t xml:space="preserve">ĐẢNG CỘNG SẢN VIỆT NAM</w:t>
            </w:r>
            <w:r>
              <w:rPr>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61312" behindDoc="0" locked="0" layoutInCell="1" allowOverlap="1">
                      <wp:simplePos x="0" y="0"/>
                      <wp:positionH relativeFrom="column">
                        <wp:posOffset>187643</wp:posOffset>
                      </wp:positionH>
                      <wp:positionV relativeFrom="paragraph">
                        <wp:posOffset>207964</wp:posOffset>
                      </wp:positionV>
                      <wp:extent cx="2638425" cy="22225"/>
                      <wp:effectExtent l="0" t="0" r="0" b="0"/>
                      <wp:wrapNone/>
                      <wp:docPr id="1" name="Straight Arrow Connector 1"/>
                      <wp:cNvGraphicFramePr/>
                      <a:graphic xmlns:a="http://schemas.openxmlformats.org/drawingml/2006/main">
                        <a:graphicData uri="http://schemas.microsoft.com/office/word/2010/wordprocessingShape">
                          <wps:wsp>
                            <wps:cNvPr id="0" name=""/>
                            <wps:cNvSpPr/>
                            <wps:spPr bwMode="auto">
                              <a:xfrm>
                                <a:off x="4031550" y="3780000"/>
                                <a:ext cx="2628900" cy="0"/>
                              </a:xfrm>
                              <a:prstGeom prst="straightConnector1">
                                <a:avLst/>
                              </a:pr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w:pict>
                    <v:shape id="shape 0" o:spid="_x0000_s0" o:spt="32" type="#_x0000_t32" style="position:absolute;z-index:251661312;o:allowoverlap:true;o:allowincell:true;mso-position-horizontal-relative:text;margin-left:14.78pt;mso-position-horizontal:absolute;mso-position-vertical-relative:text;margin-top:16.38pt;mso-position-vertical:absolute;width:207.75pt;height:1.75pt;mso-wrap-distance-left:9.00pt;mso-wrap-distance-top:0.00pt;mso-wrap-distance-right:9.00pt;mso-wrap-distance-bottom:-169093.20pt;visibility:visible;" filled="f" strokecolor="#000000" strokeweight="0.75pt">
                      <v:stroke dashstyle="solid"/>
                    </v:shape>
                  </w:pict>
                </mc:Fallback>
              </mc:AlternateContent>
            </w:r>
            <w:r>
              <w:rPr>
                <w:b/>
                <w:bCs/>
                <w:sz w:val="30"/>
                <w:szCs w:val="30"/>
              </w:rPr>
            </w:r>
          </w:p>
          <w:p w14:paraId="537C434D" w14:textId="77777777">
            <w:pPr>
              <w:pBdr/>
              <w:spacing w:after="0" w:line="240" w:lineRule="auto"/>
              <w:ind/>
              <w:rPr>
                <w:i/>
                <w:iCs/>
              </w:rPr>
            </w:pPr>
            <w:r>
              <w:rPr>
                <w:i/>
                <w:iCs/>
              </w:rPr>
            </w:r>
            <w:r>
              <w:rPr>
                <w:i/>
                <w:iCs/>
              </w:rPr>
            </w:r>
          </w:p>
          <w:p w14:paraId="38D478AC" w14:textId="77777777">
            <w:pPr>
              <w:pBdr/>
              <w:spacing w:after="0" w:line="240" w:lineRule="auto"/>
              <w:ind/>
              <w:jc w:val="center"/>
              <w:rPr>
                <w:i/>
                <w:iCs/>
                <w:lang w:val="en-US"/>
              </w:rPr>
            </w:pPr>
            <w:r>
              <w:rPr>
                <w:i/>
                <w:iCs/>
              </w:rPr>
              <w:t xml:space="preserve">Hà Nội, </w:t>
            </w:r>
            <w:r>
              <w:rPr>
                <w:i/>
                <w:iCs/>
                <w:lang w:val="en-US"/>
              </w:rPr>
              <w:t xml:space="preserve">29/7/2026</w:t>
            </w:r>
            <w:r>
              <w:rPr>
                <w:i/>
                <w:iCs/>
                <w:lang w:val="en-US"/>
              </w:rPr>
            </w:r>
          </w:p>
          <w:p w14:paraId="612ECB85" w14:textId="0620F144">
            <w:pPr>
              <w:pBdr/>
              <w:spacing w:after="0" w:line="240" w:lineRule="auto"/>
              <w:ind/>
              <w:jc w:val="center"/>
              <w:rPr>
                <w:b/>
                <w:bCs/>
              </w:rPr>
            </w:pPr>
            <w:r>
              <w:rPr>
                <w:b/>
                <w:bCs/>
              </w:rPr>
            </w:r>
            <w:r>
              <w:rPr>
                <w:b/>
                <w:bCs/>
              </w:rPr>
            </w:r>
          </w:p>
        </w:tc>
      </w:tr>
    </w:tbl>
    <w:p w14:paraId="3E243EC1" w14:textId="77777777">
      <w:pPr>
        <w:widowControl w:val="false"/>
        <w:pBdr/>
        <w:spacing w:after="0" w:line="240" w:lineRule="auto"/>
        <w:ind/>
        <w:jc w:val="center"/>
        <w:rPr>
          <w:b/>
          <w:bCs/>
          <w:lang w:val="en-US"/>
        </w:rPr>
      </w:pPr>
      <w:r>
        <w:rPr>
          <w:b/>
          <w:bCs/>
        </w:rPr>
        <w:t xml:space="preserve">HỢP ĐỒNG TƯ VẤN </w:t>
      </w:r>
      <w:r>
        <w:rPr>
          <w:b/>
          <w:bCs/>
          <w:lang w:val="en-US"/>
        </w:rPr>
      </w:r>
    </w:p>
    <w:p w14:paraId="4E5E0FF5" w14:textId="25B812BC">
      <w:pPr>
        <w:widowControl w:val="false"/>
        <w:pBdr/>
        <w:spacing w:after="0" w:line="240" w:lineRule="auto"/>
        <w:ind/>
        <w:jc w:val="center"/>
        <w:rPr>
          <w:b/>
          <w:bCs/>
          <w:lang w:val="en-US"/>
        </w:rPr>
      </w:pPr>
      <w:r>
        <w:rPr>
          <w:b/>
          <w:bCs/>
          <w:lang w:val="en-US"/>
        </w:rPr>
        <w:t xml:space="preserve">Gói thầu tư vấn lập hồ sơ mời thầu và đánh giá hồ sơ dự thầu</w:t>
      </w:r>
      <w:r>
        <w:rPr>
          <w:b/>
          <w:bCs/>
          <w:lang w:val="en-US"/>
        </w:rPr>
        <w:t xml:space="preserve"/>
      </w:r>
      <w:r>
        <w:rPr>
          <w:b/>
          <w:bCs/>
          <w:lang w:val="en-US"/>
        </w:rPr>
        <w:t xml:space="preserve"/>
      </w:r>
      <w:r>
        <w:rPr>
          <w:b/>
          <w:bCs/>
          <w:lang w:val="en-US"/>
        </w:rPr>
      </w:r>
    </w:p>
    <w:p w14:paraId="0997057F" w14:textId="77777777">
      <w:pPr>
        <w:widowControl w:val="false"/>
        <w:pBdr/>
        <w:spacing w:after="0" w:line="240" w:lineRule="auto"/>
        <w:ind/>
        <w:jc w:val="center"/>
        <w:rPr>
          <w:b/>
          <w:bCs/>
          <w:lang w:val="en-US"/>
        </w:rPr>
      </w:pPr>
      <w:r>
        <w:rPr>
          <w:b/>
          <w:bCs/>
        </w:rPr>
        <w:t xml:space="preserve">Thuộc dự toán mua sắm: </w:t>
      </w:r>
      <w:r>
        <w:rPr>
          <w:b/>
          <w:bCs/>
          <w:lang w:val="en-US"/>
        </w:rPr>
        <w:t xml:space="preserve">"Dự án đầu tư trang thiết bị công nghệ thông tin năm 2026"</w:t>
      </w:r>
      <w:r>
        <w:rPr>
          <w:b/>
          <w:bCs/>
          <w:lang w:val="en-US"/>
        </w:rPr>
      </w:r>
    </w:p>
    <w:p w14:paraId="06D839A5" w14:textId="6E1D1C4E">
      <w:pPr>
        <w:widowControl w:val="false"/>
        <w:pBdr/>
        <w:spacing w:after="0" w:line="240" w:lineRule="auto"/>
        <w:ind/>
        <w:jc w:val="center"/>
        <w:rPr>
          <w:b/>
          <w:bCs/>
          <w:lang w:val="en-US"/>
        </w:rPr>
      </w:pPr>
      <w:r>
        <w:rPr>
          <w:b/>
          <w:bCs/>
          <w:lang w:val="en-US"/>
        </w:rPr>
        <w:t xml:space="preserve">-----</w:t>
      </w:r>
      <w:r>
        <w:rPr>
          <w:b/>
          <w:bCs/>
          <w:lang w:val="en-US"/>
        </w:rPr>
      </w:r>
    </w:p>
    <w:p w14:paraId="1F765210" w14:textId="77777777">
      <w:pPr>
        <w:widowControl w:val="false"/>
        <w:pBdr/>
        <w:spacing w:after="120" w:before="120" w:line="360" w:lineRule="exact"/>
        <w:ind w:firstLine="567"/>
        <w:jc w:val="both"/>
        <w:rPr>
          <w:lang w:val="en-US"/>
        </w:rPr>
      </w:pPr>
      <w:r>
        <w:rPr>
          <w:lang w:val="en-US"/>
        </w:rPr>
        <w:t xml:space="preserve">Căn cứ Luật Đấu thầu số 22/2023/QH15, ngày 23/6/2023 của Quốc hội khóa XV, Kỳ họp thứ 5;</w:t>
      </w:r>
      <w:r>
        <w:rPr>
          <w:lang w:val="en-US"/>
        </w:rPr>
      </w:r>
    </w:p>
    <w:p w14:paraId="1F765210" w14:textId="77777777">
      <w:pPr>
        <w:widowControl w:val="false"/>
        <w:pBdr/>
        <w:spacing w:after="120" w:before="120" w:line="360" w:lineRule="exact"/>
        <w:ind w:firstLine="567"/>
        <w:jc w:val="both"/>
        <w:rPr>
          <w:lang w:val="en-US"/>
        </w:rPr>
      </w:pPr>
      <w:r>
        <w:rPr>
          <w:lang w:val="en-US"/>
        </w:rPr>
        <w:t xml:space="preserve">Căn cứ Luật số 57/2024/QH15, ngày 29/11/2024 của Quốc hội sửa đổi, bổ sung một số điều của Luật Quy hoạch, Luật Đầu tư, Luật Đầu tư theo phương thức đối tác công tư và Luật Đấu thầu;</w:t>
      </w:r>
      <w:r>
        <w:rPr>
          <w:lang w:val="en-US"/>
        </w:rPr>
      </w:r>
    </w:p>
    <w:p w14:paraId="1F765210" w14:textId="77777777">
      <w:pPr>
        <w:widowControl w:val="false"/>
        <w:pBdr/>
        <w:spacing w:after="120" w:before="120" w:line="360" w:lineRule="exact"/>
        <w:ind w:firstLine="567"/>
        <w:jc w:val="both"/>
        <w:rPr>
          <w:lang w:val="en-US"/>
        </w:rPr>
      </w:pPr>
      <w:r>
        <w:rPr>
          <w:lang w:val="en-US"/>
        </w:rPr>
        <w:t xml:space="preserve">Căn cứ Luật số 90/2025/QH15, ngày 25/6/2025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lang w:val="en-US"/>
        </w:rPr>
      </w:r>
    </w:p>
    <w:p w14:paraId="1F765210" w14:textId="77777777">
      <w:pPr>
        <w:widowControl w:val="false"/>
        <w:pBdr/>
        <w:spacing w:after="120" w:before="120" w:line="360" w:lineRule="exact"/>
        <w:ind w:firstLine="567"/>
        <w:jc w:val="both"/>
        <w:rPr>
          <w:lang w:val="en-US"/>
        </w:rPr>
      </w:pPr>
      <w:r>
        <w:rPr>
          <w:lang w:val="en-US"/>
        </w:rPr>
        <w:t xml:space="preserve">Căn cứ Nghị định số 214/2025/NĐ-CP, ngày 04/8/2025 của Chính phủ quy định chi tiết một số điều và biện pháp thi hành Luật Đấu thầu về lựa chọn nhà thầu;</w:t>
      </w:r>
      <w:r>
        <w:rPr>
          <w:lang w:val="en-US"/>
        </w:rPr>
      </w:r>
    </w:p>
    <w:p w14:paraId="3C276529" w14:textId="77777777">
      <w:pPr>
        <w:widowControl w:val="false"/>
        <w:pBdr/>
        <w:spacing w:after="120" w:before="120" w:line="360" w:lineRule="exact"/>
        <w:ind w:firstLine="567"/>
        <w:jc w:val="both"/>
        <w:rPr/>
      </w:pPr>
      <w:r>
        <w:t xml:space="preserve">- Căn cứ nhu cầu, năng lực của các bên.</w:t>
      </w:r>
      <w:r/>
    </w:p>
    <w:p w14:paraId="6EAFCC0D" w14:textId="7D9A9CB4">
      <w:pPr>
        <w:widowControl w:val="false"/>
        <w:pBdr>
          <w:top w:val="none" w:color="000000" w:sz="4" w:space="0"/>
          <w:left w:val="none" w:color="000000" w:sz="4" w:space="0"/>
          <w:bottom w:val="none" w:color="000000" w:sz="4" w:space="0"/>
          <w:right w:val="none" w:color="000000" w:sz="4" w:space="0"/>
          <w:between w:val="none" w:color="000000" w:sz="4" w:space="0"/>
        </w:pBdr>
        <w:spacing w:after="120" w:before="120" w:line="360" w:lineRule="exact"/>
        <w:ind w:firstLine="567"/>
        <w:jc w:val="both"/>
        <w:rPr>
          <w:color w:val="000000"/>
        </w:rPr>
      </w:pPr>
      <w:r>
        <w:rPr>
          <w:color w:val="000000"/>
        </w:rPr>
        <w:t xml:space="preserve">Hôm nay, </w:t>
      </w:r>
      <w:r>
        <w:rPr>
          <w:lang w:val="en-US"/>
        </w:rPr>
        <w:t xml:space="preserve">29/7/2026</w:t>
      </w:r>
      <w:r>
        <w:rPr>
          <w:i/>
          <w:iCs/>
          <w:lang w:val="en-US"/>
        </w:rPr>
        <w:t xml:space="preserve"> </w:t>
      </w:r>
      <w:r>
        <w:rPr>
          <w:color w:val="000000"/>
        </w:rPr>
        <w:t xml:space="preserve">tại Nhà xuất bản Chính trị quốc gia Sự thật, chúng tôi đại diện cho các bên ký hợp đồng, gồm có:</w:t>
      </w:r>
      <w:r>
        <w:rPr>
          <w:color w:val="000000"/>
        </w:rPr>
      </w:r>
    </w:p>
    <w:p w14:paraId="69340B54" w14:textId="77777777">
      <w:pPr>
        <w:widowControl w:val="false"/>
        <w:pBdr/>
        <w:spacing w:after="120" w:before="120" w:line="360" w:lineRule="exact"/>
        <w:ind w:firstLine="567"/>
        <w:jc w:val="both"/>
        <w:rPr>
          <w:b/>
          <w:bCs/>
        </w:rPr>
      </w:pPr>
      <w:r>
        <w:rPr>
          <w:b/>
          <w:bCs/>
        </w:rPr>
        <w:t xml:space="preserve">1. Bên giao thầu </w:t>
      </w:r>
      <w:r>
        <w:t xml:space="preserve">(Chủ đầu tư - Viết tắt là Bên A)</w:t>
      </w:r>
      <w:r>
        <w:rPr>
          <w:b/>
          <w:bCs/>
        </w:rPr>
        <w:t xml:space="preserve">: NHÀ XUẤT BẢN CHÍNH TRỊ QUỐC GIA SỰ THẬT</w:t>
      </w:r>
      <w:r>
        <w:rPr>
          <w:b/>
          <w:bCs/>
        </w:rPr>
      </w:r>
    </w:p>
    <w:p w14:paraId="0CA3720E" w14:textId="77777777">
      <w:pPr>
        <w:widowControl w:val="false"/>
        <w:pBdr/>
        <w:spacing w:after="120" w:before="120" w:line="360" w:lineRule="exact"/>
        <w:ind w:firstLine="567"/>
        <w:jc w:val="both"/>
        <w:rPr/>
      </w:pPr>
      <w:r/>
      <w:bookmarkStart w:id="2" w:name="_heading=h.4y86kc2r80q1"/>
      <w:r/>
      <w:bookmarkEnd w:id="2"/>
      <w:r>
        <w:t xml:space="preserve">Địa chỉ  </w:t>
      </w:r>
      <w:r>
        <w:tab/>
        <w:t xml:space="preserve">: Số 6/86 Duy Tân, phường Cầu Giấy, thành phố Hà Nội</w:t>
      </w:r>
      <w:r/>
    </w:p>
    <w:p w14:paraId="755B4312" w14:textId="77777777">
      <w:pPr>
        <w:widowControl w:val="false"/>
        <w:pBdr/>
        <w:spacing w:after="120" w:before="120" w:line="360" w:lineRule="exact"/>
        <w:ind w:firstLine="567"/>
        <w:jc w:val="both"/>
        <w:rPr>
          <w:color w:val="000000"/>
        </w:rPr>
      </w:pPr>
      <w:r>
        <w:rPr>
          <w:color w:val="000000"/>
        </w:rPr>
        <w:t xml:space="preserve">Đại diện</w:t>
      </w:r>
      <w:r>
        <w:rPr>
          <w:color w:val="000000"/>
        </w:rPr>
        <w:tab/>
        <w:t xml:space="preserve">: Ông </w:t>
      </w:r>
      <w:r>
        <w:rPr>
          <w:b/>
          <w:bCs/>
          <w:color w:val="000000"/>
        </w:rPr>
        <w:t xml:space="preserve">Nguyễn Thái Bình</w:t>
      </w:r>
      <w:r>
        <w:rPr>
          <w:b/>
          <w:bCs/>
          <w:color w:val="000000"/>
        </w:rPr>
        <w:tab/>
      </w:r>
      <w:r>
        <w:rPr>
          <w:color w:val="000000"/>
        </w:rPr>
        <w:tab/>
      </w:r>
      <w:r>
        <w:rPr>
          <w:color w:val="000000"/>
        </w:rPr>
      </w:r>
    </w:p>
    <w:p w14:paraId="49290E63" w14:textId="77777777">
      <w:pPr>
        <w:widowControl w:val="false"/>
        <w:pBdr/>
        <w:spacing w:after="120" w:before="120" w:line="360" w:lineRule="exact"/>
        <w:ind w:firstLine="567"/>
        <w:jc w:val="both"/>
        <w:rPr>
          <w:color w:val="000000"/>
        </w:rPr>
      </w:pPr>
      <w:r>
        <w:rPr>
          <w:color w:val="000000"/>
        </w:rPr>
        <w:t xml:space="preserve">Chức vụ</w:t>
      </w:r>
      <w:r>
        <w:rPr>
          <w:color w:val="000000"/>
        </w:rPr>
        <w:tab/>
        <w:t xml:space="preserve">: </w:t>
      </w:r>
      <w:r>
        <w:rPr>
          <w:b/>
          <w:bCs/>
          <w:color w:val="000000"/>
        </w:rPr>
        <w:t xml:space="preserve">Phó Giám đốc - Phó Tổng Biên tập</w:t>
      </w:r>
      <w:r>
        <w:rPr>
          <w:color w:val="000000"/>
        </w:rPr>
      </w:r>
    </w:p>
    <w:p w14:paraId="39548252" w14:textId="77777777">
      <w:pPr>
        <w:widowControl w:val="false"/>
        <w:pBdr/>
        <w:spacing w:after="120" w:before="120" w:line="360" w:lineRule="exact"/>
        <w:ind w:firstLine="567"/>
        <w:jc w:val="both"/>
        <w:rPr>
          <w:i/>
          <w:iCs/>
          <w:lang w:val="vi-VN"/>
        </w:rPr>
      </w:pPr>
      <w:r>
        <w:rPr>
          <w:i/>
          <w:iCs/>
          <w:lang w:val="vi-VN"/>
        </w:rPr>
        <w:t xml:space="preserve">(Theo Giấy ủy quyền số </w:t>
      </w:r>
      <w:r>
        <w:rPr>
          <w:i/>
          <w:iCs/>
          <w:lang w:val="en-US"/>
        </w:rPr>
        <w:t xml:space="preserve">03</w:t>
      </w:r>
      <w:r>
        <w:rPr>
          <w:i/>
          <w:iCs/>
          <w:lang w:val="vi-VN"/>
        </w:rPr>
        <w:t xml:space="preserve">-GUQ/NXBCTQGST, ngày </w:t>
      </w:r>
      <w:r>
        <w:rPr>
          <w:i/>
          <w:iCs/>
          <w:lang w:val="en-US"/>
        </w:rPr>
        <w:t xml:space="preserve">19</w:t>
      </w:r>
      <w:r>
        <w:rPr>
          <w:i/>
          <w:iCs/>
          <w:lang w:val="vi-VN"/>
        </w:rPr>
        <w:t xml:space="preserve">/</w:t>
      </w:r>
      <w:r>
        <w:rPr>
          <w:i/>
          <w:iCs/>
          <w:lang w:val="en-US"/>
        </w:rPr>
        <w:t xml:space="preserve">3</w:t>
      </w:r>
      <w:r>
        <w:rPr>
          <w:i/>
          <w:iCs/>
          <w:lang w:val="vi-VN"/>
        </w:rPr>
        <w:t xml:space="preserve">/202</w:t>
      </w:r>
      <w:r>
        <w:rPr>
          <w:i/>
          <w:iCs/>
          <w:lang w:val="en-US"/>
        </w:rPr>
        <w:t xml:space="preserve">6</w:t>
      </w:r>
      <w:r>
        <w:rPr>
          <w:i/>
          <w:iCs/>
          <w:lang w:val="vi-VN"/>
        </w:rPr>
        <w:t xml:space="preserve"> của Nhà xuất bản Chính trị quốc gia Sự thật)</w:t>
      </w:r>
      <w:r>
        <w:rPr>
          <w:i/>
          <w:iCs/>
          <w:lang w:val="vi-VN"/>
        </w:rPr>
      </w:r>
    </w:p>
    <w:p w14:paraId="4310FE25" w14:textId="77777777">
      <w:pPr>
        <w:widowControl w:val="false"/>
        <w:pBdr/>
        <w:spacing w:after="120" w:before="120" w:line="360" w:lineRule="exact"/>
        <w:ind w:firstLine="567"/>
        <w:jc w:val="both"/>
        <w:rPr/>
      </w:pPr>
      <w:r>
        <w:t xml:space="preserve">Điện thoại</w:t>
      </w:r>
      <w:r>
        <w:tab/>
        <w:t xml:space="preserve">: 04.38221633</w:t>
      </w:r>
      <w:r>
        <w:tab/>
      </w:r>
      <w:r>
        <w:tab/>
      </w:r>
      <w:r>
        <w:tab/>
      </w:r>
      <w:r>
        <w:tab/>
        <w:t xml:space="preserve">Fax: 04.39421881</w:t>
      </w:r>
      <w:r/>
    </w:p>
    <w:p w14:paraId="7DF2B2C5" w14:textId="77777777">
      <w:pPr>
        <w:widowControl w:val="false"/>
        <w:pBdr/>
        <w:spacing w:after="120" w:before="120" w:line="360" w:lineRule="exact"/>
        <w:ind w:firstLine="567"/>
        <w:jc w:val="both"/>
        <w:rPr/>
      </w:pPr>
      <w:r>
        <w:t xml:space="preserve">Mã số thuế</w:t>
      </w:r>
      <w:r>
        <w:tab/>
        <w:t xml:space="preserve">: 0100111289</w:t>
      </w:r>
      <w:r/>
    </w:p>
    <w:p w14:paraId="62C12DE5" w14:textId="77777777">
      <w:pPr>
        <w:widowControl w:val="false"/>
        <w:pBdr/>
        <w:spacing w:after="120" w:before="120" w:line="360" w:lineRule="exact"/>
        <w:ind w:firstLine="567"/>
        <w:jc w:val="both"/>
        <w:rPr/>
      </w:pPr>
      <w:r>
        <w:t xml:space="preserve">Tài khoản</w:t>
      </w:r>
      <w:r>
        <w:tab/>
        <w:t xml:space="preserve">: 9527.1.1058772 tại Phòng Giao dịch số 9 - Kho bạc nhà nước khu vực I, Hà Nội</w:t>
      </w:r>
      <w:r/>
    </w:p>
    <w:p w14:paraId="71ECCE36" w14:textId="1F9DC503">
      <w:pPr>
        <w:widowControl w:val="false"/>
        <w:pBdr/>
        <w:spacing w:after="120" w:before="120" w:line="360" w:lineRule="exact"/>
        <w:ind w:firstLine="567"/>
        <w:jc w:val="both"/>
        <w:rPr>
          <w:b/>
          <w:bCs/>
          <w:color w:val="000000"/>
          <w:lang w:val="en-US"/>
        </w:rPr>
      </w:pPr>
      <w:r>
        <w:rPr>
          <w:b/>
          <w:bCs/>
        </w:rPr>
        <w:t xml:space="preserve">2. Bên nhận thầu </w:t>
      </w:r>
      <w:r>
        <w:t xml:space="preserve">(Nhà thầu - Viết tắt là Bên B)</w:t>
      </w:r>
      <w:r>
        <w:rPr>
          <w:b/>
          <w:bCs/>
        </w:rPr>
        <w:t xml:space="preserve">:</w:t>
      </w:r>
      <w:r>
        <w:t xml:space="preserve"> </w:t>
      </w:r>
      <w:r>
        <w:rPr>
          <w:b/>
          <w:bCs/>
          <w:color w:val="000000"/>
          <w:lang w:val="en-US"/>
        </w:rPr>
        <w:t xml:space="preserve">Công ty TNHH Tư vấn Đấu thầu Minh Anh</w:t>
      </w:r>
      <w:r>
        <w:rPr>
          <w:b/>
          <w:bCs/>
          <w:color w:val="000000"/>
          <w:lang w:val="en-US"/>
        </w:rPr>
      </w:r>
    </w:p>
    <w:p w14:paraId="24AFEC2C" w14:textId="0599766A">
      <w:pPr>
        <w:widowControl w:val="false"/>
        <w:pBdr/>
        <w:spacing w:after="120" w:before="120" w:line="360" w:lineRule="exact"/>
        <w:ind w:firstLine="567"/>
        <w:jc w:val="both"/>
        <w:rPr>
          <w:color w:val="000000"/>
          <w:spacing w:val="10"/>
        </w:rPr>
      </w:pPr>
      <w:r>
        <w:rPr>
          <w:color w:val="000000"/>
          <w:spacing w:val="10"/>
        </w:rPr>
        <w:t xml:space="preserve">Địa chỉ</w:t>
      </w:r>
      <w:r>
        <w:rPr>
          <w:color w:val="000000"/>
          <w:spacing w:val="10"/>
        </w:rPr>
        <w:tab/>
        <w:t xml:space="preserve">: </w:t>
      </w:r>
      <w:r>
        <w:rPr>
          <w:color w:val="000000"/>
          <w:lang w:val="en-US"/>
        </w:rPr>
        <w:t xml:space="preserve">Số 25 phố Tràng Tiền, phường Hoàn Kiếm, Hà Nội</w:t>
      </w:r>
      <w:r>
        <w:rPr>
          <w:color w:val="000000"/>
          <w:spacing w:val="10"/>
        </w:rPr>
      </w:r>
    </w:p>
    <w:p w14:paraId="0C0425E2" w14:textId="6B607614">
      <w:pPr>
        <w:widowControl w:val="false"/>
        <w:pBdr/>
        <w:spacing w:after="120" w:before="120" w:line="360" w:lineRule="exact"/>
        <w:ind w:firstLine="567"/>
        <w:jc w:val="both"/>
        <w:rPr>
          <w:color w:val="000000"/>
        </w:rPr>
      </w:pPr>
      <w:r>
        <w:rPr>
          <w:color w:val="000000"/>
        </w:rPr>
        <w:t xml:space="preserve">Đại diện</w:t>
      </w:r>
      <w:r>
        <w:rPr>
          <w:color w:val="000000"/>
        </w:rPr>
        <w:tab/>
        <w:t xml:space="preserve">: </w:t>
      </w:r>
      <w:r>
        <w:rPr>
          <w:color w:val="000000"/>
          <w:lang w:val="en-US"/>
        </w:rPr>
        <w:t xml:space="preserve">Nguyễn Minh Anh</w:t>
      </w:r>
      <w:r>
        <w:rPr>
          <w:color w:val="000000"/>
        </w:rPr>
      </w:r>
    </w:p>
    <w:p w14:paraId="162E1709" w14:textId="6E9ED898">
      <w:pPr>
        <w:widowControl w:val="false"/>
        <w:pBdr/>
        <w:spacing w:after="120" w:before="120" w:line="360" w:lineRule="exact"/>
        <w:ind w:firstLine="567"/>
        <w:jc w:val="both"/>
        <w:rPr>
          <w:color w:val="000000"/>
        </w:rPr>
      </w:pPr>
      <w:r>
        <w:rPr>
          <w:color w:val="000000"/>
        </w:rPr>
        <w:t xml:space="preserve">Chức vụ</w:t>
      </w:r>
      <w:r>
        <w:rPr>
          <w:color w:val="000000"/>
        </w:rPr>
        <w:tab/>
        <w:t xml:space="preserve">: </w:t>
      </w:r>
      <w:r>
        <w:rPr>
          <w:color w:val="000000"/>
          <w:lang w:val="en-US"/>
        </w:rPr>
        <w:t xml:space="preserve">Giám đốc</w:t>
      </w:r>
      <w:r>
        <w:rPr>
          <w:color w:val="000000"/>
        </w:rPr>
      </w:r>
    </w:p>
    <w:p w14:paraId="01367623" w14:textId="5EE83ED2">
      <w:pPr>
        <w:widowControl w:val="false"/>
        <w:pBdr/>
        <w:spacing w:after="120" w:before="120" w:line="360" w:lineRule="exact"/>
        <w:ind w:firstLine="567"/>
        <w:jc w:val="both"/>
        <w:rPr>
          <w:color w:val="000000"/>
        </w:rPr>
      </w:pPr>
      <w:r>
        <w:rPr>
          <w:color w:val="000000"/>
        </w:rPr>
        <w:t xml:space="preserve">Điện thoại</w:t>
      </w:r>
      <w:r>
        <w:rPr>
          <w:color w:val="000000"/>
        </w:rPr>
        <w:tab/>
        <w:t xml:space="preserve">: </w:t>
      </w:r>
      <w:r>
        <w:rPr>
          <w:color w:val="000000"/>
          <w:lang w:val="en-US"/>
        </w:rPr>
        <w:t xml:space="preserve">0901234567</w:t>
      </w:r>
      <w:r>
        <w:rPr>
          <w:color w:val="000000"/>
        </w:rPr>
        <w:tab/>
      </w:r>
      <w:r>
        <w:rPr>
          <w:color w:val="000000"/>
        </w:rPr>
        <w:tab/>
      </w:r>
      <w:r>
        <w:rPr>
          <w:color w:val="000000"/>
        </w:rPr>
      </w:r>
    </w:p>
    <w:p w14:paraId="215EC33B" w14:textId="0EBEE505">
      <w:pPr>
        <w:widowControl w:val="false"/>
        <w:pBdr/>
        <w:spacing w:after="120" w:before="120" w:line="360" w:lineRule="exact"/>
        <w:ind w:firstLine="567"/>
        <w:jc w:val="both"/>
        <w:rPr>
          <w:color w:val="000000"/>
        </w:rPr>
      </w:pPr>
      <w:r>
        <w:rPr>
          <w:color w:val="000000"/>
        </w:rPr>
        <w:t xml:space="preserve">Mã số thuế</w:t>
      </w:r>
      <w:r>
        <w:rPr>
          <w:color w:val="000000"/>
        </w:rPr>
        <w:tab/>
        <w:t xml:space="preserve">: </w:t>
      </w:r>
      <w:r>
        <w:rPr>
          <w:color w:val="000000"/>
          <w:lang w:val="en-US"/>
        </w:rPr>
        <w:t xml:space="preserve">0101234567</w:t>
      </w:r>
      <w:r>
        <w:rPr>
          <w:color w:val="000000"/>
        </w:rPr>
      </w:r>
    </w:p>
    <w:p w14:paraId="4B746FD9" w14:textId="4C64A56A">
      <w:pPr>
        <w:widowControl w:val="false"/>
        <w:pBdr/>
        <w:spacing w:after="120" w:before="120" w:line="360" w:lineRule="exact"/>
        <w:ind w:firstLine="567"/>
        <w:jc w:val="both"/>
        <w:rPr>
          <w:color w:val="000000"/>
          <w:lang w:val="en-US"/>
        </w:rPr>
      </w:pPr>
      <w:r>
        <w:rPr>
          <w:color w:val="000000"/>
        </w:rPr>
        <w:t xml:space="preserve">Tài khoản</w:t>
      </w:r>
      <w:r>
        <w:rPr>
          <w:color w:val="000000"/>
        </w:rPr>
        <w:tab/>
        <w:t xml:space="preserve">: </w:t>
      </w:r>
      <w:r>
        <w:rPr>
          <w:color w:val="000000"/>
          <w:lang w:val="en-US"/>
        </w:rPr>
        <w:t xml:space="preserve">102900012345</w:t>
      </w:r>
      <w:r>
        <w:rPr>
          <w:color w:val="000000"/>
          <w:lang w:val="en-US"/>
        </w:rPr>
      </w:r>
    </w:p>
    <w:p w14:paraId="3561F038" w14:textId="77777777">
      <w:pPr>
        <w:widowControl w:val="false"/>
        <w:pBdr/>
        <w:spacing w:after="120" w:before="120" w:line="360" w:lineRule="exact"/>
        <w:ind w:firstLine="567"/>
        <w:jc w:val="both"/>
        <w:rPr/>
      </w:pPr>
      <w:r>
        <w:t xml:space="preserve">Chủ đầu tư và Công ty được gọi riêng là Bên và gọi chung là Các Bên. Các Bên thống nhất thỏa thuận như sau:</w:t>
      </w:r>
      <w:r/>
    </w:p>
    <w:p w14:paraId="09497395" w14:textId="77777777">
      <w:pPr>
        <w:widowControl w:val="false"/>
        <w:pBdr/>
        <w:spacing w:after="120" w:before="120" w:line="360" w:lineRule="exact"/>
        <w:ind w:firstLine="567"/>
        <w:jc w:val="both"/>
        <w:rPr>
          <w:b/>
          <w:bCs/>
        </w:rPr>
      </w:pPr>
      <w:r>
        <w:rPr>
          <w:b/>
          <w:bCs/>
        </w:rPr>
        <w:t xml:space="preserve">Điều 1. Các định nghĩa và diễn giải</w:t>
      </w:r>
      <w:r>
        <w:rPr>
          <w:b/>
          <w:bCs/>
        </w:rPr>
      </w:r>
    </w:p>
    <w:p w14:paraId="61E3C96F" w14:textId="77777777">
      <w:pPr>
        <w:widowControl w:val="false"/>
        <w:pBdr/>
        <w:spacing w:after="120" w:before="120" w:line="360" w:lineRule="exact"/>
        <w:ind w:firstLine="567"/>
        <w:jc w:val="both"/>
        <w:rPr>
          <w:b/>
          <w:bCs/>
          <w:spacing w:val="6"/>
        </w:rPr>
      </w:pPr>
      <w:r>
        <w:rPr>
          <w:spacing w:val="6"/>
        </w:rPr>
        <w:t xml:space="preserve">Các cụm từ (được định nghĩa và diễn giải) sẽ có ý nghĩa như diễn giải sau đây và được áp dụng cho hợp đồng này, trừ khi ngữ cảnh đòi hỏi diễn đạt rõ một ý nghĩa khác.</w:t>
      </w:r>
      <w:r>
        <w:rPr>
          <w:b/>
          <w:bCs/>
          <w:spacing w:val="6"/>
        </w:rPr>
      </w:r>
    </w:p>
    <w:p w14:paraId="7AB38AE7" w14:textId="77777777">
      <w:pPr>
        <w:widowControl w:val="false"/>
        <w:pBdr/>
        <w:spacing w:after="120" w:before="120" w:line="360" w:lineRule="exact"/>
        <w:ind w:firstLine="567"/>
        <w:jc w:val="both"/>
        <w:rPr>
          <w:b/>
          <w:bCs/>
        </w:rPr>
      </w:pPr>
      <w:r>
        <w:t xml:space="preserve">1.1 “Chủ đầu tư” là Nhà xuất bản Chính trị quốc gia Sự thật.</w:t>
      </w:r>
      <w:r>
        <w:rPr>
          <w:b/>
          <w:bCs/>
        </w:rPr>
      </w:r>
    </w:p>
    <w:p w14:paraId="54E4A91E" w14:textId="3BD62559">
      <w:pPr>
        <w:widowControl w:val="false"/>
        <w:pBdr/>
        <w:spacing w:after="120" w:before="120" w:line="360" w:lineRule="exact"/>
        <w:ind w:firstLine="567"/>
        <w:jc w:val="both"/>
        <w:rPr>
          <w:b/>
          <w:bCs/>
        </w:rPr>
      </w:pPr>
      <w:r>
        <w:t xml:space="preserve">1.2. “Dự toán mua sắm” là: </w:t>
      </w:r>
      <w:r>
        <w:t xml:space="preserve">“</w:t>
      </w:r>
      <w:r>
        <w:rPr>
          <w:lang w:val="en-US"/>
        </w:rPr>
        <w:t xml:space="preserve">Dự án đầu tư trang thiết bị công nghệ thông tin năm 2026</w:t>
      </w:r>
      <w:r>
        <w:t xml:space="preserve">”.</w:t>
      </w:r>
      <w:r>
        <w:rPr>
          <w:b/>
          <w:bCs/>
        </w:rPr>
      </w:r>
    </w:p>
    <w:p w14:paraId="6338BEA3" w14:textId="7C189526">
      <w:pPr>
        <w:widowControl w:val="false"/>
        <w:pBdr/>
        <w:spacing w:after="120" w:before="120" w:line="360" w:lineRule="exact"/>
        <w:ind w:firstLine="567"/>
        <w:rPr>
          <w:b/>
          <w:bCs/>
          <w:lang w:val="en-US"/>
        </w:rPr>
      </w:pPr>
      <w:r>
        <w:t xml:space="preserve">1.3. “Tên gói thầu” là </w:t>
      </w:r>
      <w:r>
        <w:rPr>
          <w:lang w:val="en-US"/>
        </w:rPr>
        <w:t xml:space="preserve">Gói thầu tư vấn lập hồ sơ mời thầu và đánh giá hồ sơ dự thầu</w:t>
      </w:r>
      <w:r>
        <w:rPr>
          <w:lang w:val="en-US"/>
        </w:rPr>
        <w:t xml:space="preserve"/>
      </w:r>
      <w:r>
        <w:rPr>
          <w:lang w:val="en-US"/>
        </w:rPr>
        <w:t xml:space="preserve"/>
      </w:r>
      <w:r>
        <w:rPr>
          <w:b/>
          <w:bCs/>
          <w:lang w:val="en-US"/>
        </w:rPr>
      </w:r>
    </w:p>
    <w:p w14:paraId="12F64BC8" w14:textId="77777777">
      <w:pPr>
        <w:widowControl w:val="false"/>
        <w:pBdr/>
        <w:spacing w:after="120" w:before="120" w:line="360" w:lineRule="exact"/>
        <w:ind w:firstLine="567"/>
        <w:jc w:val="both"/>
        <w:rPr/>
      </w:pPr>
      <w:r>
        <w:t xml:space="preserve">1.4. “Hợp đồng” là phần 1 (Các căn cứ của Hợp đồng), phần 2 (Các điều khoản và điều kiện của Hợp đồng) và các tài liệu kèm theo hợp đồng.</w:t>
      </w:r>
      <w:r/>
    </w:p>
    <w:p w14:paraId="0DC605F6" w14:textId="77777777">
      <w:pPr>
        <w:widowControl w:val="false"/>
        <w:pBdr/>
        <w:spacing w:after="120" w:before="120" w:line="360" w:lineRule="exact"/>
        <w:ind w:firstLine="567"/>
        <w:jc w:val="both"/>
        <w:rPr/>
      </w:pPr>
      <w:r>
        <w:t xml:space="preserve">1.5. “Bên” là Chủ đầu tư hoặc Nhà thầu tuỳ theo ngữ cảnh.</w:t>
      </w:r>
      <w:r/>
    </w:p>
    <w:p w14:paraId="00DF5ABB" w14:textId="77777777">
      <w:pPr>
        <w:widowControl w:val="false"/>
        <w:pBdr/>
        <w:spacing w:after="120" w:before="120" w:line="360" w:lineRule="exact"/>
        <w:ind w:firstLine="567"/>
        <w:jc w:val="both"/>
        <w:rPr>
          <w:spacing w:val="-8"/>
        </w:rPr>
      </w:pPr>
      <w:r>
        <w:rPr>
          <w:spacing w:val="-8"/>
        </w:rPr>
        <w:t xml:space="preserve">1.6. “Ngày” được hiểu là ngày dương lịch và tháng được hiểu là tháng dương lịch.</w:t>
      </w:r>
      <w:r>
        <w:rPr>
          <w:spacing w:val="-8"/>
        </w:rPr>
      </w:r>
    </w:p>
    <w:p w14:paraId="13A8596E" w14:textId="77777777">
      <w:pPr>
        <w:widowControl w:val="false"/>
        <w:pBdr/>
        <w:spacing w:after="120" w:before="120" w:line="360" w:lineRule="exact"/>
        <w:ind w:firstLine="567"/>
        <w:jc w:val="both"/>
        <w:rPr/>
      </w:pPr>
      <w:r>
        <w:t xml:space="preserve">1.7. “Luật” là toàn bộ hệ thống luật pháp của nước Cộng hòa Xã hội Chủ nghĩa Việt Nam và các văn bản hướng dẫn có liên quan.</w:t>
      </w:r>
      <w:r/>
    </w:p>
    <w:p w14:paraId="3C7B8BDB" w14:textId="77777777">
      <w:pPr>
        <w:widowControl w:val="false"/>
        <w:pBdr/>
        <w:spacing w:after="120" w:before="120" w:line="360" w:lineRule="exact"/>
        <w:ind w:firstLine="567"/>
        <w:jc w:val="both"/>
        <w:rPr>
          <w:spacing w:val="6"/>
        </w:rPr>
      </w:pPr>
      <w:r>
        <w:rPr>
          <w:spacing w:val="6"/>
        </w:rPr>
        <w:t xml:space="preserve">1.8 “Văn bản chấp thuận” là thể hiện sự chấp thuận chính thức của Chủ đầu tư về bất kỳ ghi nhớ hoặc thỏa thuận nào giữa hai bên trong quá trình thực hiện hợp đồng.</w:t>
      </w:r>
      <w:r>
        <w:rPr>
          <w:spacing w:val="6"/>
        </w:rPr>
      </w:r>
    </w:p>
    <w:p w14:paraId="6AB12D0E" w14:textId="77777777">
      <w:pPr>
        <w:widowControl w:val="false"/>
        <w:pBdr/>
        <w:spacing w:after="120" w:before="120" w:line="360" w:lineRule="exact"/>
        <w:ind w:firstLine="567"/>
        <w:jc w:val="both"/>
        <w:rPr/>
      </w:pPr>
      <w:r>
        <w:t xml:space="preserve">1.9. “Phụ lục hợp đồng” là những trang hoàn chỉnh nhằm làm rõ một nội dung trong hợp đồng, được gọi tên là Phụ lục của Hợp đồng và là một phần không tách rời của Hợp đồng.</w:t>
      </w:r>
      <w:r/>
    </w:p>
    <w:p w14:paraId="2A1A682D" w14:textId="77777777">
      <w:pPr>
        <w:widowControl w:val="false"/>
        <w:pBdr/>
        <w:spacing w:after="120" w:before="120" w:line="360" w:lineRule="exact"/>
        <w:ind w:firstLine="567"/>
        <w:jc w:val="both"/>
        <w:rPr/>
      </w:pPr>
      <w:r>
        <w:t xml:space="preserve">1.10. “Công việc” được hiểu là các dịch vụ do đơn vị tư vấn đấu thầu thực hiện theo qui định tại Điều 2 [Mô tả phạm vi công việc].</w:t>
      </w:r>
      <w:r/>
    </w:p>
    <w:p w14:paraId="521B4403" w14:textId="77777777">
      <w:pPr>
        <w:widowControl w:val="false"/>
        <w:pBdr/>
        <w:spacing w:after="120" w:before="120" w:line="360" w:lineRule="exact"/>
        <w:ind w:firstLine="567"/>
        <w:jc w:val="both"/>
        <w:rPr>
          <w:b/>
          <w:bCs/>
        </w:rPr>
      </w:pPr>
      <w:r>
        <w:rPr>
          <w:b/>
          <w:bCs/>
        </w:rPr>
        <w:t xml:space="preserve">Điều 2. Mô tả phạm vi công việc</w:t>
      </w:r>
      <w:r>
        <w:rPr>
          <w:b/>
          <w:bCs/>
        </w:rPr>
      </w:r>
    </w:p>
    <w:p w14:paraId="7B0D13BC" w14:textId="768391A1">
      <w:pPr>
        <w:widowControl w:val="false"/>
        <w:pBdr/>
        <w:spacing w:after="120" w:before="120" w:line="360" w:lineRule="exact"/>
        <w:ind w:firstLine="567"/>
        <w:jc w:val="both"/>
        <w:rPr/>
      </w:pPr>
      <w:r>
        <w:t xml:space="preserve">Bên A giao cho Bên B thực hiện công việc </w:t>
      </w:r>
      <w:r>
        <w:rPr>
          <w:lang w:val="en-US"/>
        </w:rPr>
        <w:t xml:space="preserve">Gói thầu tư vấn lập hồ sơ mời thầu và đánh giá hồ sơ dự thầu</w:t>
      </w:r>
      <w:r>
        <w:rPr>
          <w:lang w:val="en-US"/>
        </w:rPr>
        <w:t xml:space="preserve"/>
      </w:r>
      <w:r>
        <w:rPr>
          <w:lang w:val="en-US"/>
        </w:rPr>
        <w:t xml:space="preserve"/>
      </w:r>
      <w:r>
        <w:rPr>
          <w:lang w:val="en-US"/>
        </w:rPr>
        <w:t xml:space="preserve">t</w:t>
      </w:r>
      <w:r>
        <w:t xml:space="preserve">huộc dự toán mua sắm: </w:t>
      </w:r>
      <w:r>
        <w:rPr>
          <w:lang w:val="en-US"/>
        </w:rPr>
        <w:t xml:space="preserve">"Dự án đầu tư trang thiết bị công nghệ thông tin năm 2026".</w:t>
      </w:r>
      <w:r>
        <w:t xml:space="preserve"> Nội dung chi tiết như sau:</w:t>
      </w:r>
      <w:r/>
    </w:p>
    <w:p w14:paraId="3FBAFBAC" w14:textId="4C2AC0FA">
      <w:pPr>
        <w:widowControl w:val="false"/>
        <w:pBdr/>
        <w:spacing w:after="120" w:before="120" w:line="360" w:lineRule="exact"/>
        <w:ind w:firstLine="567"/>
        <w:jc w:val="both"/>
        <w:rPr/>
      </w:pPr>
      <w:r/>
      <w:bookmarkStart w:id="3" w:name="_heading=h.8sa7g73cpzgt"/>
      <w:r/>
      <w:bookmarkEnd w:id="3"/>
      <w:r>
        <w:t xml:space="preserve">2.1. Nội dung </w:t>
      </w:r>
      <w:r>
        <w:rPr>
          <w:lang w:val="en-US"/>
        </w:rPr>
        <w:t xml:space="preserve">Lập hồ sơ mời thầu và đánh giá hồ sơ dự thầu</w:t>
      </w:r>
      <w:r>
        <w:t xml:space="preserve"> theo quy định pháp luật.</w:t>
      </w:r>
      <w:r/>
    </w:p>
    <w:p w14:paraId="64F38351" w14:textId="77777777">
      <w:pPr>
        <w:widowControl w:val="false"/>
        <w:pBdr/>
        <w:spacing w:after="120" w:before="120" w:line="360" w:lineRule="exact"/>
        <w:ind w:firstLine="567"/>
        <w:jc w:val="both"/>
        <w:rPr>
          <w:spacing w:val="6"/>
          <w:lang w:val="en-US"/>
        </w:rPr>
      </w:pPr>
      <w:r>
        <w:rPr>
          <w:spacing w:val="6"/>
        </w:rPr>
        <w:t xml:space="preserve">2.2. Số lượng hồ sơ phải nộp: </w:t>
      </w:r>
      <w:r>
        <w:rPr>
          <w:spacing w:val="6"/>
          <w:lang w:val="en-US"/>
        </w:rPr>
      </w:r>
    </w:p>
    <w:p w14:paraId="2DAF9980" w14:textId="194B0C06">
      <w:pPr>
        <w:widowControl w:val="false"/>
        <w:pBdr/>
        <w:spacing w:after="120" w:before="120" w:line="360" w:lineRule="exact"/>
        <w:ind w:firstLine="567"/>
        <w:jc w:val="both"/>
        <w:rPr>
          <w:spacing w:val="-8"/>
          <w:lang w:val="en-US"/>
        </w:rPr>
      </w:pPr>
      <w:r>
        <w:rPr>
          <w:spacing w:val="-8"/>
          <w:lang w:val="en-US"/>
        </w:rPr>
        <w:t xml:space="preserve">Hồ sơ mời thầu và báo cáo đánh giá hồ sơ dự thầu</w:t>
      </w:r>
      <w:r>
        <w:rPr>
          <w:lang w:val="en-US"/>
        </w:rPr>
        <w:t xml:space="preserve"/>
      </w:r>
      <w:r>
        <w:rPr>
          <w:lang w:val="en-US"/>
        </w:rPr>
        <w:t xml:space="preserve"/>
      </w:r>
      <w:r>
        <w:rPr>
          <w:spacing w:val="-8"/>
        </w:rPr>
        <w:t xml:space="preserve">:</w:t>
      </w:r>
      <w:r>
        <w:rPr>
          <w:spacing w:val="-8"/>
        </w:rPr>
        <w:t xml:space="preserve"> </w:t>
      </w:r>
      <w:r>
        <w:rPr>
          <w:spacing w:val="-8"/>
          <w:lang w:val="en-US"/>
        </w:rPr>
        <w:t xml:space="preserve">01</w:t>
      </w:r>
      <w:r>
        <w:rPr>
          <w:spacing w:val="-8"/>
          <w:lang w:val="en-US"/>
        </w:rPr>
        <w:t xml:space="preserve"/>
      </w:r>
      <w:r>
        <w:rPr>
          <w:spacing w:val="-8"/>
          <w:lang w:val="en-US"/>
        </w:rPr>
        <w:t xml:space="preserve"/>
      </w:r>
      <w:r>
        <w:rPr>
          <w:lang w:val="en-US"/>
        </w:rPr>
        <w:t xml:space="preserve"/>
      </w:r>
      <w:r>
        <w:rPr>
          <w:lang w:val="en-US"/>
        </w:rPr>
        <w:t xml:space="preserve"/>
      </w:r>
      <w:r>
        <w:rPr>
          <w:spacing w:val="-8"/>
          <w:lang w:val="en-US"/>
        </w:rPr>
      </w:r>
    </w:p>
    <w:p w14:paraId="0E27B304" w14:textId="77777777">
      <w:pPr>
        <w:widowControl w:val="false"/>
        <w:pBdr/>
        <w:spacing w:after="120" w:before="120" w:line="360" w:lineRule="exact"/>
        <w:ind w:firstLine="567"/>
        <w:jc w:val="both"/>
        <w:rPr>
          <w:b/>
          <w:bCs/>
        </w:rPr>
      </w:pPr>
      <w:r>
        <w:rPr>
          <w:b/>
          <w:bCs/>
        </w:rPr>
        <w:t xml:space="preserve">Điều 3. Loại hợp đồng, giá hợp đồng, thanh toán</w:t>
      </w:r>
      <w:r>
        <w:rPr>
          <w:b/>
          <w:bCs/>
        </w:rPr>
      </w:r>
    </w:p>
    <w:p w14:paraId="240B6683" w14:textId="77777777">
      <w:pPr>
        <w:widowControl w:val="false"/>
        <w:pBdr/>
        <w:spacing w:after="120" w:before="120" w:line="360" w:lineRule="exact"/>
        <w:ind w:firstLine="567"/>
        <w:jc w:val="both"/>
        <w:rPr/>
      </w:pPr>
      <w:r>
        <w:t xml:space="preserve">3.1. Loại Hợp đồng: Trọn gói.</w:t>
      </w:r>
      <w:r/>
    </w:p>
    <w:p w14:paraId="6468830F" w14:textId="3DFEADF7">
      <w:pPr>
        <w:widowControl w:val="false"/>
        <w:pBdr/>
        <w:spacing w:after="120" w:before="120" w:line="360" w:lineRule="exact"/>
        <w:ind w:firstLine="567"/>
        <w:jc w:val="both"/>
        <w:rPr/>
      </w:pPr>
      <w:r/>
      <w:bookmarkStart w:id="4" w:name="_heading=h.9bd7w546d22x"/>
      <w:r/>
      <w:bookmarkEnd w:id="4"/>
      <w:r>
        <w:t xml:space="preserve">3.2. Giá hợp đồng (đã bao gồm thuế VAT): </w:t>
      </w:r>
      <w:r>
        <w:rPr>
          <w:b/>
          <w:bCs/>
          <w:lang w:val="en-US"/>
        </w:rPr>
        <w:t xml:space="preserve">120.000.000</w:t>
      </w:r>
      <w:r>
        <w:rPr>
          <w:b/>
          <w:bCs/>
          <w:lang w:val="en-US"/>
        </w:rPr>
        <w:t xml:space="preserve"/>
      </w:r>
      <w:r>
        <w:rPr>
          <w:b/>
          <w:bCs/>
          <w:lang w:val="en-US"/>
        </w:rPr>
        <w:t xml:space="preserve"> </w:t>
      </w:r>
      <w:r>
        <w:rPr>
          <w:b/>
          <w:bCs/>
        </w:rPr>
        <w:t xml:space="preserve">đồng (</w:t>
      </w:r>
      <w:r>
        <w:rPr>
          <w:i/>
          <w:iCs/>
        </w:rPr>
        <w:t xml:space="preserve">Bằng chữ: </w:t>
      </w:r>
      <w:r>
        <w:rPr>
          <w:i/>
          <w:iCs/>
          <w:lang w:val="en-US"/>
        </w:rPr>
        <w:t xml:space="preserve">Một trăm hai mươi triệu đồng</w:t>
      </w:r>
      <w:r>
        <w:rPr>
          <w:i/>
          <w:iCs/>
          <w:lang w:val="en-US"/>
        </w:rPr>
        <w:t xml:space="preserve"/>
      </w:r>
      <w:r>
        <w:rPr>
          <w:i/>
          <w:iCs/>
          <w:lang w:val="en-US"/>
        </w:rPr>
        <w:t xml:space="preserve"/>
      </w:r>
      <w:r>
        <w:rPr>
          <w:i/>
          <w:iCs/>
        </w:rPr>
        <w:t xml:space="preserve">,</w:t>
      </w:r>
      <w:r>
        <w:rPr>
          <w:i/>
          <w:iCs/>
        </w:rPr>
        <w:t xml:space="preserve"> đã bao gồm thuế VAT./.)</w:t>
      </w:r>
      <w:r/>
    </w:p>
    <w:p w14:paraId="1878BDA1" w14:textId="77777777">
      <w:pPr>
        <w:widowControl w:val="false"/>
        <w:pBdr/>
        <w:spacing w:after="120" w:before="120" w:line="360" w:lineRule="exact"/>
        <w:ind w:firstLine="567"/>
        <w:jc w:val="both"/>
        <w:rPr/>
      </w:pPr>
      <w:r>
        <w:t xml:space="preserve">Giá trị hợp đồng nêu trên có thể được điều chỉnh trên cơ sở phê duyệt của cơ quan có thẩm quyền.</w:t>
      </w:r>
      <w:r/>
    </w:p>
    <w:p w14:paraId="6B0F8188" w14:textId="77777777">
      <w:pPr>
        <w:widowControl w:val="false"/>
        <w:pBdr/>
        <w:spacing w:after="120" w:before="120" w:line="360" w:lineRule="exact"/>
        <w:ind w:firstLine="567"/>
        <w:jc w:val="both"/>
        <w:rPr/>
      </w:pPr>
      <w:r>
        <w:t xml:space="preserve">3.3. Tiến độ thanh toán hợp đồng:</w:t>
      </w:r>
      <w:r/>
    </w:p>
    <w:p w14:paraId="4CE93983" w14:textId="77777777">
      <w:pPr>
        <w:widowControl w:val="false"/>
        <w:pBdr/>
        <w:spacing w:after="120" w:before="120" w:line="360" w:lineRule="exact"/>
        <w:ind w:firstLine="567"/>
        <w:jc w:val="both"/>
        <w:rPr/>
      </w:pPr>
      <w:r>
        <w:t xml:space="preserve">Việc thanh toán hợp đồng tuân theo quy định cụ thể như sau:</w:t>
      </w:r>
      <w:r/>
    </w:p>
    <w:p w14:paraId="2A504137" w14:textId="77777777">
      <w:pPr>
        <w:widowControl w:val="false"/>
        <w:pBdr/>
        <w:tabs>
          <w:tab w:val="left" w:leader="none" w:pos="0"/>
        </w:tabs>
        <w:spacing w:after="120" w:before="120" w:line="360" w:lineRule="exact"/>
        <w:ind w:firstLine="567"/>
        <w:jc w:val="both"/>
        <w:rPr/>
      </w:pPr>
      <w:r>
        <w:t xml:space="preserve">3.3.1. Tạm ứng hợp đồng: Không tạm ứng</w:t>
      </w:r>
      <w:r/>
    </w:p>
    <w:p w14:paraId="63E2A0A9" w14:textId="77777777">
      <w:pPr>
        <w:widowControl w:val="false"/>
        <w:pBdr/>
        <w:spacing w:after="120" w:before="120" w:line="360" w:lineRule="exact"/>
        <w:ind w:firstLine="567"/>
        <w:jc w:val="both"/>
        <w:rPr/>
      </w:pPr>
      <w:r>
        <w:t xml:space="preserve">3.3.2. Thanh toán và quyết toán:</w:t>
      </w:r>
      <w:r/>
    </w:p>
    <w:p w14:paraId="083A70C1" w14:textId="28105879">
      <w:pPr>
        <w:widowControl w:val="false"/>
        <w:pBdr/>
        <w:spacing w:after="120" w:before="120" w:line="360" w:lineRule="exact"/>
        <w:ind w:firstLine="567"/>
        <w:jc w:val="both"/>
        <w:rPr/>
      </w:pPr>
      <w:r>
        <w:t xml:space="preserve">- Sau khi Bên B hoàn thành bàn giao </w:t>
      </w:r>
      <w:r>
        <w:rPr>
          <w:spacing w:val="-8"/>
          <w:lang w:val="en-US"/>
        </w:rPr>
        <w:t xml:space="preserve">Hồ sơ mời thầu và báo cáo đánh giá hồ sơ dự thầu</w:t>
      </w:r>
      <w:r>
        <w:rPr>
          <w:lang w:val="en-US"/>
        </w:rPr>
        <w:t xml:space="preserve"/>
      </w:r>
      <w:r>
        <w:rPr>
          <w:lang w:val="en-US"/>
        </w:rPr>
        <w:t xml:space="preserve"/>
      </w:r>
      <w:r>
        <w:t xml:space="preserve">và được cơ quan có thẩm quyền phê duyệt, hai bên tiến hành ký biên bản nghiệm thu khối lượng hoàn thành, Bên A sẽ thanh toán cho Bên B đến 100</w:t>
      </w:r>
      <w:r>
        <w:rPr>
          <w:lang w:val="en-US"/>
        </w:rPr>
        <w:t xml:space="preserve">ki</w:t>
      </w:r>
      <w:r>
        <w:t xml:space="preserve">% giá trị hợp đồng đã ký kết.</w:t>
      </w:r>
      <w:r/>
    </w:p>
    <w:p w14:paraId="45044B2B" w14:textId="77777777">
      <w:pPr>
        <w:widowControl w:val="false"/>
        <w:pBdr/>
        <w:spacing w:after="120" w:before="120" w:line="360" w:lineRule="exact"/>
        <w:ind w:firstLine="567"/>
        <w:jc w:val="both"/>
        <w:rPr/>
      </w:pPr>
      <w:r>
        <w:t xml:space="preserve">- Hình thức thanh toán: Chuyển khoản</w:t>
      </w:r>
      <w:r/>
    </w:p>
    <w:p w14:paraId="50C48D28" w14:textId="77777777">
      <w:pPr>
        <w:widowControl w:val="false"/>
        <w:pBdr/>
        <w:spacing w:after="120" w:before="120" w:line="360" w:lineRule="exact"/>
        <w:ind w:firstLine="567"/>
        <w:jc w:val="both"/>
        <w:rPr/>
      </w:pPr>
      <w:r>
        <w:t xml:space="preserve">3.3.3. Hồ sơ quyết toán bao gồm:</w:t>
      </w:r>
      <w:r/>
    </w:p>
    <w:p w14:paraId="1F681DE3" w14:textId="77777777">
      <w:pPr>
        <w:widowControl w:val="false"/>
        <w:pBdr/>
        <w:spacing w:after="120" w:before="120" w:line="360" w:lineRule="exact"/>
        <w:ind w:firstLine="567"/>
        <w:jc w:val="both"/>
        <w:rPr/>
      </w:pPr>
      <w:r>
        <w:t xml:space="preserve">+ Biên bản nghiệm thu và thanh lý hợp đồng</w:t>
      </w:r>
      <w:r/>
    </w:p>
    <w:p w14:paraId="784F4595" w14:textId="77777777">
      <w:pPr>
        <w:widowControl w:val="false"/>
        <w:pBdr/>
        <w:spacing w:after="120" w:before="120" w:line="360" w:lineRule="exact"/>
        <w:ind w:firstLine="567"/>
        <w:jc w:val="both"/>
        <w:rPr/>
      </w:pPr>
      <w:r>
        <w:t xml:space="preserve">+ Hồ sơ liên quan đến phần phát sinh (nếu có)</w:t>
      </w:r>
      <w:r/>
    </w:p>
    <w:p w14:paraId="142D6735" w14:textId="77777777">
      <w:pPr>
        <w:widowControl w:val="false"/>
        <w:pBdr/>
        <w:spacing w:after="120" w:before="120" w:line="360" w:lineRule="exact"/>
        <w:ind w:firstLine="567"/>
        <w:jc w:val="both"/>
        <w:rPr/>
      </w:pPr>
      <w:r>
        <w:t xml:space="preserve">+ Bảng xác định khối lượng công việc hoàn thành theo quy định</w:t>
      </w:r>
      <w:r/>
    </w:p>
    <w:p w14:paraId="2CDD1C52" w14:textId="77777777">
      <w:pPr>
        <w:widowControl w:val="false"/>
        <w:pBdr/>
        <w:spacing w:after="120" w:before="120" w:line="360" w:lineRule="exact"/>
        <w:ind w:firstLine="567"/>
        <w:jc w:val="both"/>
        <w:rPr/>
      </w:pPr>
      <w:r>
        <w:t xml:space="preserve">+ Hóa đơn tài chính hợp lệ</w:t>
      </w:r>
      <w:r/>
    </w:p>
    <w:p w14:paraId="399434E1" w14:textId="77777777">
      <w:pPr>
        <w:widowControl w:val="false"/>
        <w:pBdr/>
        <w:spacing w:after="120" w:before="120" w:line="360" w:lineRule="exact"/>
        <w:ind w:firstLine="567"/>
        <w:jc w:val="both"/>
        <w:rPr/>
      </w:pPr>
      <w:r>
        <w:t xml:space="preserve">+ Các hồ sơ liên quan khác (nếu có) </w:t>
      </w:r>
      <w:r/>
    </w:p>
    <w:p w14:paraId="05BD7355" w14:textId="77777777">
      <w:pPr>
        <w:widowControl w:val="false"/>
        <w:pBdr/>
        <w:spacing w:after="120" w:before="120" w:line="360" w:lineRule="exact"/>
        <w:ind w:firstLine="567"/>
        <w:jc w:val="both"/>
        <w:rPr>
          <w:b/>
          <w:bCs/>
        </w:rPr>
      </w:pPr>
      <w:r>
        <w:rPr>
          <w:b/>
          <w:bCs/>
        </w:rPr>
        <w:t xml:space="preserve">Điều 4. Thay đổi và điều chỉnh giá hợp đồng: </w:t>
      </w:r>
      <w:r>
        <w:t xml:space="preserve">Không có điều chỉnh.</w:t>
      </w:r>
      <w:r>
        <w:rPr>
          <w:b/>
          <w:bCs/>
        </w:rPr>
      </w:r>
    </w:p>
    <w:p w14:paraId="4FFE4451" w14:textId="393FD007">
      <w:pPr>
        <w:widowControl w:val="false"/>
        <w:pBdr/>
        <w:spacing w:after="120" w:before="120" w:line="360" w:lineRule="exact"/>
        <w:ind w:firstLine="567"/>
        <w:jc w:val="both"/>
        <w:rPr/>
      </w:pPr>
      <w:r/>
      <w:bookmarkStart w:id="5" w:name="_heading=h.7srcv124z9j2"/>
      <w:r/>
      <w:bookmarkEnd w:id="5"/>
      <w:r>
        <w:rPr>
          <w:b/>
          <w:bCs/>
        </w:rPr>
        <w:t xml:space="preserve">Điều 5. Thời gian thực hiện hợp đồng:</w:t>
      </w:r>
      <w:r>
        <w:t xml:space="preserve"> </w:t>
      </w:r>
      <w:r>
        <w:rPr>
          <w:lang w:val="en-US"/>
        </w:rPr>
        <w:t xml:space="preserve"/>
      </w:r>
      <w:r>
        <w:rPr>
          <w:lang w:val="en-US"/>
        </w:rPr>
        <w:t xml:space="preserve"/>
      </w:r>
      <w:r>
        <w:rPr>
          <w:lang w:val="en-US"/>
        </w:rPr>
        <w:t xml:space="preserve"/>
      </w:r>
      <w:r>
        <w:t xml:space="preserve"> ngày,</w:t>
      </w:r>
      <w:r>
        <w:rPr>
          <w:b/>
          <w:bCs/>
        </w:rPr>
        <w:t xml:space="preserve"> </w:t>
      </w:r>
      <w:r>
        <w:t xml:space="preserve">kể từ ngày ký hợp đồng (thời gian trên không bao gồm thời gian thẩm định, phê duyệt, nghiệm thu và các trường hợp bất khả kháng).</w:t>
      </w:r>
      <w:r/>
    </w:p>
    <w:p w14:paraId="688FB95B" w14:textId="77777777">
      <w:pPr>
        <w:widowControl w:val="false"/>
        <w:pBdr/>
        <w:spacing w:after="120" w:before="120" w:line="360" w:lineRule="exact"/>
        <w:ind w:firstLine="567"/>
        <w:jc w:val="both"/>
        <w:rPr>
          <w:b/>
          <w:bCs/>
        </w:rPr>
      </w:pPr>
      <w:r>
        <w:rPr>
          <w:b/>
          <w:bCs/>
        </w:rPr>
        <w:t xml:space="preserve">Điều 6. Quyền và nghĩa vụ chung của Bên A</w:t>
      </w:r>
      <w:r>
        <w:rPr>
          <w:b/>
          <w:bCs/>
        </w:rPr>
      </w:r>
    </w:p>
    <w:p w14:paraId="6CC6C168" w14:textId="77777777">
      <w:pPr>
        <w:widowControl w:val="false"/>
        <w:pBdr/>
        <w:spacing w:after="120" w:before="120" w:line="360" w:lineRule="exact"/>
        <w:ind w:firstLine="567"/>
        <w:jc w:val="both"/>
        <w:rPr/>
      </w:pPr>
      <w:r>
        <w:t xml:space="preserve">6.1. Cung cấp đầy đủ các hồ sơ và các tài liệu có liên quan cho Bên B gồm: Hồ sơ lập dự án đầu tư đã được phê duyệt; các tài liệu pháp lý có liên quan.</w:t>
      </w:r>
      <w:r/>
    </w:p>
    <w:p w14:paraId="1FF69B75" w14:textId="77777777">
      <w:pPr>
        <w:widowControl w:val="false"/>
        <w:pBdr/>
        <w:spacing w:after="120" w:before="120" w:line="360" w:lineRule="exact"/>
        <w:ind w:firstLine="567"/>
        <w:jc w:val="both"/>
        <w:rPr/>
      </w:pPr>
      <w:r>
        <w:t xml:space="preserve">6.2. Yêu cầu Bên B hoàn chỉnh hồ sơ nếu thấy rằng hồ sơ chưa được thực hiện theo đúng quy định của Nhà nước.</w:t>
      </w:r>
      <w:r/>
    </w:p>
    <w:p w14:paraId="52B6A7E7" w14:textId="77777777">
      <w:pPr>
        <w:widowControl w:val="false"/>
        <w:pBdr/>
        <w:spacing w:after="120" w:before="120" w:line="360" w:lineRule="exact"/>
        <w:ind w:firstLine="567"/>
        <w:jc w:val="both"/>
        <w:rPr/>
      </w:pPr>
      <w:r>
        <w:t xml:space="preserve">6.3. Không tiếp nhận hồ sơ và yêu cầu hoàn lại chi phí đã thanh toán nếu thấy hồ sơ không đạt yêu cầu chất lượng theo quy định.</w:t>
      </w:r>
      <w:r/>
    </w:p>
    <w:p w14:paraId="44541EF0" w14:textId="77777777">
      <w:pPr>
        <w:widowControl w:val="false"/>
        <w:pBdr/>
        <w:spacing w:after="120" w:before="120" w:line="360" w:lineRule="exact"/>
        <w:ind w:firstLine="567"/>
        <w:jc w:val="both"/>
        <w:rPr/>
      </w:pPr>
      <w:r>
        <w:t xml:space="preserve">6.4. Thanh toán cho Bên B theo tiến độ ghi trong hợp đồng.</w:t>
      </w:r>
      <w:r/>
    </w:p>
    <w:p w14:paraId="6A33A4BE" w14:textId="77777777">
      <w:pPr>
        <w:widowControl w:val="false"/>
        <w:pBdr/>
        <w:spacing w:after="120" w:before="120" w:line="360" w:lineRule="exact"/>
        <w:ind w:firstLine="567"/>
        <w:jc w:val="both"/>
        <w:rPr>
          <w:b/>
          <w:bCs/>
        </w:rPr>
      </w:pPr>
      <w:r>
        <w:rPr>
          <w:b/>
          <w:bCs/>
        </w:rPr>
        <w:t xml:space="preserve">Điều 7. Quyền và nghĩa vụ chung của Bên B</w:t>
      </w:r>
      <w:r>
        <w:rPr>
          <w:b/>
          <w:bCs/>
        </w:rPr>
      </w:r>
    </w:p>
    <w:p w14:paraId="5A43F8C5" w14:textId="77777777">
      <w:pPr>
        <w:widowControl w:val="false"/>
        <w:pBdr/>
        <w:spacing w:after="120" w:before="120" w:line="360" w:lineRule="exact"/>
        <w:ind w:firstLine="567"/>
        <w:jc w:val="both"/>
        <w:rPr/>
      </w:pPr>
      <w:r>
        <w:t xml:space="preserve">7.1. Hoàn thành đầy đủ các công việc ghi trong Điều 2 của hợp đồng với chất lượng, khối lượng theo đúng quy định của Nhà nước và đúng tiến độ yêu cầu của hợp đồng.</w:t>
      </w:r>
      <w:r/>
    </w:p>
    <w:p w14:paraId="7CAB7F0B" w14:textId="1F3A1F1F">
      <w:pPr>
        <w:widowControl w:val="false"/>
        <w:pBdr/>
        <w:spacing w:after="120" w:before="120" w:line="360" w:lineRule="exact"/>
        <w:ind w:firstLine="567"/>
        <w:jc w:val="both"/>
        <w:rPr/>
      </w:pPr>
      <w:r>
        <w:t xml:space="preserve">7.2. Chịu trách nhiệm trước pháp luật và Bên A về kết quả công tác </w:t>
      </w:r>
      <w:r>
        <w:rPr>
          <w:lang w:val="en-US"/>
        </w:rPr>
        <w:t xml:space="preserve">Lập hồ sơ mời thầu và đánh giá hồ sơ dự thầu</w:t>
      </w:r>
      <w:r>
        <w:t xml:space="preserve">. </w:t>
      </w:r>
      <w:r/>
    </w:p>
    <w:p w14:paraId="5A35D543" w14:textId="3E892430">
      <w:pPr>
        <w:widowControl w:val="false"/>
        <w:pBdr/>
        <w:spacing w:after="120" w:before="120" w:line="360" w:lineRule="exact"/>
        <w:ind w:firstLine="567"/>
        <w:jc w:val="both"/>
        <w:rPr/>
      </w:pPr>
      <w:r>
        <w:t xml:space="preserve">7.3. Chất lượng </w:t>
      </w:r>
      <w:r>
        <w:rPr>
          <w:spacing w:val="-8"/>
          <w:lang w:val="en-US"/>
        </w:rPr>
        <w:t xml:space="preserve">Hồ sơ mời thầu và báo cáo đánh giá hồ sơ dự thầu</w:t>
      </w:r>
      <w:r>
        <w:rPr>
          <w:lang w:val="en-US"/>
        </w:rPr>
        <w:t xml:space="preserve"/>
      </w:r>
      <w:r>
        <w:rPr>
          <w:lang w:val="en-US"/>
        </w:rPr>
        <w:t xml:space="preserve"/>
      </w:r>
      <w:r>
        <w:rPr>
          <w:spacing w:val="-8"/>
          <w:lang w:val="en-US"/>
        </w:rPr>
        <w:t xml:space="preserve"> </w:t>
      </w:r>
      <w:r>
        <w:t xml:space="preserve">đảm bảo tuân theo đúng các quy định </w:t>
      </w:r>
      <w:r>
        <w:t xml:space="preserve">hiện hành.</w:t>
      </w:r>
      <w:r/>
    </w:p>
    <w:p w14:paraId="5E434660" w14:textId="77777777">
      <w:pPr>
        <w:widowControl w:val="false"/>
        <w:pBdr/>
        <w:spacing w:after="120" w:before="120" w:line="360" w:lineRule="exact"/>
        <w:ind w:firstLine="567"/>
        <w:jc w:val="both"/>
        <w:rPr/>
      </w:pPr>
      <w:r>
        <w:t xml:space="preserve">7.4. Có trách nhiệm cử người có đủ năng lực, chuyên môn, có chứng chỉ hành nghề, kinh nghiệm phù hợp, tương xứng với nghề nghiệp để đảm bảo thực hiện công việc ghi trong Điều 2 của Hợp đồng đúng quy định của pháp luật.</w:t>
      </w:r>
      <w:r/>
    </w:p>
    <w:p w14:paraId="55EFC550" w14:textId="77777777">
      <w:pPr>
        <w:widowControl w:val="false"/>
        <w:pBdr/>
        <w:spacing w:after="120" w:before="120" w:line="360" w:lineRule="exact"/>
        <w:ind w:firstLine="567"/>
        <w:jc w:val="both"/>
        <w:rPr/>
      </w:pPr>
      <w:r>
        <w:t xml:space="preserve">7.5. Có trách nhiệm thực hiện tất cả các nghĩa vụ theo quy định của pháp luật đối với hoạt động tư vấn của mình như: Đăng ký kinh doanh, đăng ký hành nghề, hoàn thành tất cả các nghĩa vụ thuế…</w:t>
      </w:r>
      <w:r/>
    </w:p>
    <w:p w14:paraId="7D4D9038" w14:textId="77777777">
      <w:pPr>
        <w:widowControl w:val="false"/>
        <w:pBdr/>
        <w:spacing w:after="120" w:before="120" w:line="360" w:lineRule="exact"/>
        <w:ind w:firstLine="567"/>
        <w:jc w:val="both"/>
        <w:rPr>
          <w:lang w:val="en-US"/>
        </w:rPr>
      </w:pPr>
      <w:r>
        <w:t xml:space="preserve">7.6. Bàn giao cho Bên A: </w:t>
      </w:r>
      <w:r>
        <w:rPr>
          <w:lang w:val="en-US"/>
        </w:rPr>
      </w:r>
    </w:p>
    <w:p w14:paraId="363CC33F" w14:textId="58139749">
      <w:pPr>
        <w:widowControl w:val="false"/>
        <w:pBdr/>
        <w:spacing w:after="120" w:before="120" w:line="360" w:lineRule="exact"/>
        <w:ind w:firstLine="567"/>
        <w:jc w:val="both"/>
        <w:rPr>
          <w:spacing w:val="-8"/>
          <w:lang w:val="en-US"/>
        </w:rPr>
      </w:pPr>
      <w:r>
        <w:rPr>
          <w:spacing w:val="-8"/>
          <w:lang w:val="en-US"/>
        </w:rPr>
        <w:t xml:space="preserve">Hồ sơ mời thầu và báo cáo đánh giá hồ sơ dự thầu</w:t>
      </w:r>
      <w:r>
        <w:rPr>
          <w:lang w:val="en-US"/>
        </w:rPr>
        <w:t xml:space="preserve"/>
      </w:r>
      <w:r>
        <w:rPr>
          <w:lang w:val="en-US"/>
        </w:rPr>
        <w:t xml:space="preserve"/>
      </w:r>
      <w:r>
        <w:rPr>
          <w:spacing w:val="-8"/>
        </w:rPr>
        <w:t xml:space="preserve">:</w:t>
      </w:r>
      <w:r>
        <w:rPr>
          <w:spacing w:val="-8"/>
        </w:rPr>
        <w:t xml:space="preserve"> </w:t>
      </w:r>
      <w:r>
        <w:rPr>
          <w:spacing w:val="-8"/>
          <w:lang w:val="en-US"/>
        </w:rPr>
        <w:t xml:space="preserve">01</w:t>
      </w:r>
      <w:r>
        <w:rPr>
          <w:spacing w:val="-8"/>
          <w:lang w:val="en-US"/>
        </w:rPr>
        <w:t xml:space="preserve"/>
      </w:r>
      <w:r>
        <w:rPr>
          <w:spacing w:val="-8"/>
          <w:lang w:val="en-US"/>
        </w:rPr>
        <w:t xml:space="preserve"/>
      </w:r>
      <w:r>
        <w:rPr>
          <w:lang w:val="en-US"/>
        </w:rPr>
        <w:t xml:space="preserve"/>
      </w:r>
      <w:r>
        <w:rPr>
          <w:lang w:val="en-US"/>
        </w:rPr>
        <w:t xml:space="preserve"/>
      </w:r>
      <w:r>
        <w:rPr>
          <w:spacing w:val="-8"/>
          <w:lang w:val="en-US"/>
        </w:rPr>
      </w:r>
    </w:p>
    <w:p w14:paraId="1D3888BF" w14:textId="77777777">
      <w:pPr>
        <w:widowControl w:val="false"/>
        <w:pBdr/>
        <w:spacing w:after="120" w:before="120" w:line="360" w:lineRule="exact"/>
        <w:ind w:firstLine="567"/>
        <w:jc w:val="both"/>
        <w:rPr>
          <w:b/>
          <w:bCs/>
        </w:rPr>
      </w:pPr>
      <w:r>
        <w:rPr>
          <w:b/>
          <w:bCs/>
        </w:rPr>
        <w:t xml:space="preserve">Điều 8. Tạm ngừng và huỷ bỏ hợp đồng:</w:t>
      </w:r>
      <w:r>
        <w:rPr>
          <w:b/>
          <w:bCs/>
        </w:rPr>
      </w:r>
    </w:p>
    <w:p w14:paraId="1CE2C129" w14:textId="77777777">
      <w:pPr>
        <w:widowControl w:val="false"/>
        <w:pBdr/>
        <w:spacing w:after="120" w:before="120" w:line="360" w:lineRule="exact"/>
        <w:ind w:firstLine="567"/>
        <w:jc w:val="both"/>
        <w:rPr>
          <w:i/>
          <w:iCs/>
        </w:rPr>
      </w:pPr>
      <w:r>
        <w:t xml:space="preserve">8.1. Các trường hợp tạm ngừng thực hiện hợp đồng:</w:t>
      </w:r>
      <w:r>
        <w:rPr>
          <w:i/>
          <w:iCs/>
        </w:rPr>
      </w:r>
    </w:p>
    <w:p w14:paraId="4218F718" w14:textId="77777777">
      <w:pPr>
        <w:widowControl w:val="false"/>
        <w:pBdr/>
        <w:spacing w:after="120" w:before="120" w:line="360" w:lineRule="exact"/>
        <w:ind w:firstLine="567"/>
        <w:jc w:val="both"/>
        <w:rPr/>
      </w:pPr>
      <w:r>
        <w:t xml:space="preserve">8.1.1. Do lỗi của Bên A hoặc Bên B gây ra.</w:t>
      </w:r>
      <w:r/>
    </w:p>
    <w:p w14:paraId="52CC2C35" w14:textId="77777777">
      <w:pPr>
        <w:widowControl w:val="false"/>
        <w:pBdr/>
        <w:spacing w:after="120" w:before="120" w:line="360" w:lineRule="exact"/>
        <w:ind w:firstLine="567"/>
        <w:jc w:val="both"/>
        <w:rPr/>
      </w:pPr>
      <w:r>
        <w:t xml:space="preserve">8.1.2. Các trường hợp khác do hai bên thoả thuận.</w:t>
      </w:r>
      <w:r/>
    </w:p>
    <w:p w14:paraId="7DC8DAF2" w14:textId="77777777">
      <w:pPr>
        <w:widowControl w:val="false"/>
        <w:pBdr/>
        <w:spacing w:after="120" w:before="120" w:line="360" w:lineRule="exact"/>
        <w:ind w:firstLine="567"/>
        <w:jc w:val="both"/>
        <w:rPr>
          <w:spacing w:val="6"/>
        </w:rPr>
      </w:pPr>
      <w:r>
        <w:rPr>
          <w:spacing w:val="6"/>
        </w:rPr>
        <w:t xml:space="preserve">Một bên có quyền tạm ngừng thực hiện hợp đồng do lỗi của bên kia </w:t>
      </w:r>
      <w:r>
        <w:rPr>
          <w:spacing w:val="6"/>
        </w:rPr>
        <w:t xml:space="preserve">gây ra, nhưng phải báo cho bên kia biết bằng văn bản trước 01 ngày và cùng bàn bạc giải quyết để tiếp tục thực hiện đúng các điều khoản của hợp đồng. Trường hợp bên tạm ngừng không thông báo mà tạm ngừng gây thiệt hại thì phải bồi thường cho bên thiệt hại.</w:t>
      </w:r>
      <w:r>
        <w:rPr>
          <w:spacing w:val="6"/>
        </w:rPr>
      </w:r>
    </w:p>
    <w:p w14:paraId="1D84731F" w14:textId="77777777">
      <w:pPr>
        <w:widowControl w:val="false"/>
        <w:pBdr/>
        <w:spacing w:after="120" w:before="120" w:line="360" w:lineRule="exact"/>
        <w:ind w:firstLine="567"/>
        <w:jc w:val="both"/>
        <w:rPr/>
      </w:pPr>
      <w:r>
        <w:t xml:space="preserve">Thời gian và mức độ đền bù thiệt hại do tạm ngừng thực hiện hợp đồng sẽ được hai bên thoả thuận.</w:t>
      </w:r>
      <w:r/>
    </w:p>
    <w:p w14:paraId="7D4133D1" w14:textId="77777777">
      <w:pPr>
        <w:widowControl w:val="false"/>
        <w:pBdr/>
        <w:spacing w:after="120" w:before="120" w:line="360" w:lineRule="exact"/>
        <w:ind w:firstLine="567"/>
        <w:jc w:val="both"/>
        <w:rPr/>
      </w:pPr>
      <w:r>
        <w:t xml:space="preserve">8.2. Huỷ bỏ hợp đồng:</w:t>
      </w:r>
      <w:r/>
    </w:p>
    <w:p w14:paraId="496DC4AC" w14:textId="437A765E">
      <w:pPr>
        <w:widowControl w:val="false"/>
        <w:pBdr/>
        <w:spacing w:after="120" w:before="120" w:line="360" w:lineRule="exact"/>
        <w:ind w:firstLine="567"/>
        <w:jc w:val="both"/>
        <w:rPr/>
      </w:pPr>
      <w:r>
        <w:t xml:space="preserve">8.2.1. Nếu Bên B không đáp ứng được công việc nêu tại Điều 2 của hợp đồng về chất lượng của </w:t>
      </w:r>
      <w:r>
        <w:rPr>
          <w:spacing w:val="-8"/>
          <w:lang w:val="en-US"/>
        </w:rPr>
        <w:t xml:space="preserve">Hồ sơ mời thầu và báo cáo đánh giá hồ sơ dự thầu</w:t>
      </w:r>
      <w:r>
        <w:rPr>
          <w:lang w:val="en-US"/>
        </w:rPr>
        <w:t xml:space="preserve"/>
      </w:r>
      <w:r>
        <w:rPr>
          <w:lang w:val="en-US"/>
        </w:rPr>
        <w:t xml:space="preserve"/>
      </w:r>
      <w:r>
        <w:t xml:space="preserve">theo quy định hiện hành thì Bên A có quyền đơn phương chấm dứt hợp đồng.</w:t>
      </w:r>
      <w:r/>
    </w:p>
    <w:p w14:paraId="131EDC1E" w14:textId="77777777">
      <w:pPr>
        <w:widowControl w:val="false"/>
        <w:pBdr/>
        <w:spacing w:after="120" w:before="120" w:line="360" w:lineRule="exact"/>
        <w:ind w:firstLine="567"/>
        <w:jc w:val="both"/>
        <w:rPr/>
      </w:pPr>
      <w:r>
        <w:t xml:space="preserve">8.2.2. Nếu Bên B chậm tiến độ thực hiện hợp đồng quá 01 ngày mà không có lí do khách quan được Bên A chấp thuận thì Bên A có quyền đơn phương chấm dứt hợp đồng.</w:t>
      </w:r>
      <w:r/>
    </w:p>
    <w:p w14:paraId="21EF3860" w14:textId="77777777">
      <w:pPr>
        <w:widowControl w:val="false"/>
        <w:pBdr/>
        <w:spacing w:after="120" w:before="120" w:line="360" w:lineRule="exact"/>
        <w:ind w:firstLine="567"/>
        <w:jc w:val="both"/>
        <w:rPr/>
      </w:pPr>
      <w:r>
        <w:t xml:space="preserve">8.2.3. Một bên có quyền huỷ bỏ hợp đồng và không phải bồi thường thiệt hại khi bên kia vi phạm hợp đồng là điều kiện huỷ bỏ pháp luật có quy định. Bên vi phạm hợp đồng phải bồi thường thiệt hại.</w:t>
      </w:r>
      <w:r/>
    </w:p>
    <w:p w14:paraId="71528DAB" w14:textId="77777777">
      <w:pPr>
        <w:widowControl w:val="false"/>
        <w:pBdr/>
        <w:spacing w:after="120" w:before="120" w:line="360" w:lineRule="exact"/>
        <w:ind w:firstLine="567"/>
        <w:jc w:val="both"/>
        <w:rPr/>
      </w:pPr>
      <w:r>
        <w:t xml:space="preserve">8.2.4. Bên huỷ bỏ hợp đồng phải thông báo ngay cho bên kia biết về việc huỷ bỏ; nếu không thông báo mà gây thiệt hại cho bên kia, thì bên huỷ bỏ hợp đồng phải bồi thường.</w:t>
      </w:r>
      <w:r/>
    </w:p>
    <w:p w14:paraId="0711CE50" w14:textId="77777777">
      <w:pPr>
        <w:widowControl w:val="false"/>
        <w:pBdr/>
        <w:spacing w:after="120" w:before="120" w:line="360" w:lineRule="exact"/>
        <w:ind w:firstLine="567"/>
        <w:jc w:val="both"/>
        <w:rPr/>
      </w:pPr>
      <w:r>
        <w:t xml:space="preserve">8.2.5. Khi hợp đồng bị huỷ bỏ, thì hợp đồng không còn hiệu lực từ thời điểm bị huỷ bỏ. Chi phí bồi thường việc hủy bỏ hợp đồng sẽ do hai bên thỏa thuận.</w:t>
      </w:r>
      <w:r/>
    </w:p>
    <w:p w14:paraId="512489D6" w14:textId="77777777">
      <w:pPr>
        <w:widowControl w:val="false"/>
        <w:pBdr/>
        <w:spacing w:after="120" w:before="120" w:line="360" w:lineRule="exact"/>
        <w:ind w:firstLine="567"/>
        <w:jc w:val="both"/>
        <w:rPr>
          <w:b/>
          <w:bCs/>
        </w:rPr>
      </w:pPr>
      <w:r>
        <w:rPr>
          <w:b/>
          <w:bCs/>
        </w:rPr>
        <w:t xml:space="preserve">Điều 9. Phạt vi phạm hợp đồng</w:t>
      </w:r>
      <w:r>
        <w:rPr>
          <w:b/>
          <w:bCs/>
        </w:rPr>
      </w:r>
    </w:p>
    <w:p w14:paraId="01C8A81E" w14:textId="77777777">
      <w:pPr>
        <w:widowControl w:val="false"/>
        <w:pBdr/>
        <w:spacing w:after="120" w:before="120" w:line="360" w:lineRule="exact"/>
        <w:ind w:firstLine="567"/>
        <w:jc w:val="both"/>
        <w:rPr/>
      </w:pPr>
      <w:r>
        <w:t xml:space="preserve">Nếu Bên B làm chậm tiến độ, sẽ chịu mức phạt 1%/tuần và không vượt quá 8% giá trị hợp đồng.</w:t>
      </w:r>
      <w:r/>
    </w:p>
    <w:p w14:paraId="09E6446B" w14:textId="77777777">
      <w:pPr>
        <w:widowControl w:val="false"/>
        <w:pBdr/>
        <w:spacing w:after="120" w:before="120" w:line="360" w:lineRule="exact"/>
        <w:ind w:firstLine="567"/>
        <w:jc w:val="both"/>
        <w:rPr>
          <w:b/>
          <w:bCs/>
        </w:rPr>
      </w:pPr>
      <w:r>
        <w:rPr>
          <w:b/>
          <w:bCs/>
        </w:rPr>
        <w:t xml:space="preserve">Điều 10. Khiếu nại, tranh chấp và trọng tài</w:t>
      </w:r>
      <w:r>
        <w:rPr>
          <w:b/>
          <w:bCs/>
        </w:rPr>
      </w:r>
    </w:p>
    <w:p w14:paraId="61DB7538" w14:textId="77777777">
      <w:pPr>
        <w:widowControl w:val="false"/>
        <w:pBdr/>
        <w:spacing w:after="120" w:before="120" w:line="360" w:lineRule="exact"/>
        <w:ind w:firstLine="567"/>
        <w:jc w:val="both"/>
        <w:rPr/>
      </w:pPr>
      <w:r>
        <w:t xml:space="preserve">Nếu có phát sinh tranh chấp giữa các bên liên quan đến hợp đồng này hoặc bất cứ vấn đề gì phát sinh, các bên phải lập tức tiến hành thương lượng để giải quyết vấn đề một cách hữu hảo. Nếu thương lư</w:t>
      </w:r>
      <w:r>
        <w:t xml:space="preserve">ợng không có kết quả thì trong vòng 15 ngày kể từ ngày phát sinh tranh chấp, các bên sẽ đệ trình vấn đề lên Tòa án Nhân dân để xử lý tranh chấp theo qui định của pháp luật. Quyết định của Tòa án là quyết định cuối cùng và có tính chất bắt buộc với các bên.</w:t>
      </w:r>
      <w:r/>
    </w:p>
    <w:p w14:paraId="3B2CC698" w14:textId="77777777">
      <w:pPr>
        <w:widowControl w:val="false"/>
        <w:pBdr/>
        <w:spacing w:after="120" w:before="120" w:line="360" w:lineRule="exact"/>
        <w:ind w:firstLine="567"/>
        <w:jc w:val="both"/>
        <w:rPr>
          <w:b/>
          <w:bCs/>
        </w:rPr>
      </w:pPr>
      <w:r>
        <w:rPr>
          <w:b/>
          <w:bCs/>
        </w:rPr>
        <w:t xml:space="preserve">Điều 11. Quyết toán hợp đồng</w:t>
      </w:r>
      <w:r>
        <w:rPr>
          <w:b/>
          <w:bCs/>
        </w:rPr>
      </w:r>
    </w:p>
    <w:p w14:paraId="3FCB76EE" w14:textId="77777777">
      <w:pPr>
        <w:widowControl w:val="false"/>
        <w:pBdr/>
        <w:spacing w:after="120" w:before="120" w:line="360" w:lineRule="exact"/>
        <w:ind w:firstLine="567"/>
        <w:jc w:val="both"/>
        <w:rPr/>
      </w:pPr>
      <w:r>
        <w:t xml:space="preserve">11.1. Quyết toán hợp đồng</w:t>
      </w:r>
      <w:r/>
    </w:p>
    <w:p w14:paraId="7B9E6DC3" w14:textId="77777777">
      <w:pPr>
        <w:widowControl w:val="false"/>
        <w:pBdr/>
        <w:spacing w:after="120" w:before="120" w:line="360" w:lineRule="exact"/>
        <w:ind w:firstLine="567"/>
        <w:jc w:val="both"/>
        <w:rPr/>
      </w:pPr>
      <w:r>
        <w:t xml:space="preserve">11.1.a. Trong vòn</w:t>
      </w:r>
      <w:r>
        <w:t xml:space="preserve">g 10 ngày sau khi nhận được Biên bản xác nhận của Bên A rằng Bên B đã hoàn thành tất cả các nghĩa vụ theo quy định của hợp đồng, Bên B sẽ trình cho Bên A 01 bộ dự thảo quyết toán hợp đồng với các tài liệu trình bày chi tiết theo mẫu mà Bên A đã chấp thuận:</w:t>
      </w:r>
      <w:r/>
    </w:p>
    <w:p w14:paraId="07E5C1DD" w14:textId="77777777">
      <w:pPr>
        <w:widowControl w:val="false"/>
        <w:pBdr/>
        <w:spacing w:after="120" w:before="120" w:line="360" w:lineRule="exact"/>
        <w:ind w:firstLine="567"/>
        <w:jc w:val="both"/>
        <w:rPr>
          <w:spacing w:val="10"/>
        </w:rPr>
      </w:pPr>
      <w:r>
        <w:rPr>
          <w:spacing w:val="10"/>
        </w:rPr>
        <w:t xml:space="preserve">11.1.b. Giá trị của tất cả các công việc được làm theo đúng quy định tại hợp đồng.</w:t>
      </w:r>
      <w:r>
        <w:rPr>
          <w:spacing w:val="10"/>
        </w:rPr>
      </w:r>
    </w:p>
    <w:p w14:paraId="144ADDAE" w14:textId="77777777">
      <w:pPr>
        <w:widowControl w:val="false"/>
        <w:pBdr/>
        <w:spacing w:after="120" w:before="120" w:line="360" w:lineRule="exact"/>
        <w:ind w:firstLine="567"/>
        <w:jc w:val="both"/>
        <w:rPr/>
      </w:pPr>
      <w:r>
        <w:t xml:space="preserve">11.1.c. Số tiền khác mà Bên B coi là đến hạn thanh toán theo Hợp đồng hoặc các thỏa thuận khác.</w:t>
      </w:r>
      <w:r/>
    </w:p>
    <w:p w14:paraId="17271E00" w14:textId="77777777">
      <w:pPr>
        <w:widowControl w:val="false"/>
        <w:pBdr/>
        <w:spacing w:after="120" w:before="120" w:line="360" w:lineRule="exact"/>
        <w:ind w:firstLine="567"/>
        <w:jc w:val="both"/>
        <w:rPr>
          <w:lang w:val="en-US"/>
        </w:rPr>
      </w:pPr>
      <w:r>
        <w:t xml:space="preserve">11.1.d. Nếu Bên A không đồng ý hoặc cho rằng Bên B chưa cung cấp đủ cơ sở </w:t>
      </w:r>
      <w:r>
        <w:t xml:space="preserve">để xác nhận một phần nào đó của dự thảo quyết toán hợp đồng, Bên B sẽ cung cấp thêm thông tin khi Bên A có yêu cầu hợp lý và sẽ thay đổi dự thảo theo sự nhất trí của hai bên. Bên B sẽ chuẩn bị và trình cho Bên A quyết toán hợp đồng như hai bên đã nhất trí.</w:t>
      </w:r>
      <w:r>
        <w:rPr>
          <w:lang w:val="en-US"/>
        </w:rPr>
      </w:r>
    </w:p>
    <w:p w14:paraId="4CC5941A" w14:textId="16458E21">
      <w:pPr>
        <w:widowControl w:val="false"/>
        <w:pBdr/>
        <w:spacing w:after="120" w:before="120" w:line="360" w:lineRule="exact"/>
        <w:ind w:firstLine="567"/>
        <w:jc w:val="both"/>
        <w:rPr>
          <w:lang w:val="en-US"/>
        </w:rPr>
      </w:pPr>
      <w:r>
        <w:t xml:space="preserve">11.1.</w:t>
      </w:r>
      <w:r>
        <w:rPr>
          <w:lang w:val="en-US"/>
        </w:rPr>
        <w:t xml:space="preserve">e</w:t>
      </w:r>
      <w:r>
        <w:t xml:space="preserve">. Trường hợp giá trị quyết toán hợp đồng được hai bên thống nhất và Bên A phê duyệt thấp hơn giá trị Hợp đồng đã ký kết, Bên A chỉ có trách nhiệm thanh toán cho Bên B tối đa bằng đúng giá trị quyết t</w:t>
      </w:r>
      <w:r>
        <w:t xml:space="preserve">oán đã được phê duyệt. Trường hợp tổng số tiền Bên A đã thanh toán và tạm ứng cho Bên B trong các đợt trước đó lớn hơn giá trị quyết toán được phê duyệt cuối cùng, Bên B có trách nhiệm hoàn trả lại toàn bộ phần giá trị chênh lệch thừa cho Bên A trong vòng </w:t>
      </w:r>
      <w:r>
        <w:rPr>
          <w:lang w:val="en-US"/>
        </w:rPr>
        <w:t xml:space="preserve">07 ngày</w:t>
      </w:r>
      <w:r>
        <w:t xml:space="preserve"> làm việc kể từ ngày bản quyết toán hợp đồng được hai bên ký kết.</w:t>
      </w:r>
      <w:r>
        <w:rPr>
          <w:lang w:val="en-US"/>
        </w:rPr>
      </w:r>
    </w:p>
    <w:p w14:paraId="52B6ABE8" w14:textId="77777777">
      <w:pPr>
        <w:widowControl w:val="false"/>
        <w:pBdr/>
        <w:spacing w:after="120" w:before="120" w:line="360" w:lineRule="exact"/>
        <w:ind w:firstLine="567"/>
        <w:jc w:val="both"/>
        <w:rPr/>
      </w:pPr>
      <w:r>
        <w:t xml:space="preserve">11.2. Chấm dứt trách nhiệm của Bên A:</w:t>
      </w:r>
      <w:r/>
    </w:p>
    <w:p w14:paraId="44EDCF2E" w14:textId="77777777">
      <w:pPr>
        <w:widowControl w:val="false"/>
        <w:pBdr/>
        <w:spacing w:after="120" w:before="120" w:line="360" w:lineRule="exact"/>
        <w:ind w:firstLine="567"/>
        <w:jc w:val="both"/>
        <w:rPr/>
      </w:pPr>
      <w:r>
        <w:t xml:space="preserve">Sau khi bản quyết toán hợp đồng đã được ký bởi các bên, Bên A sẽ không chịu trách nhiệm với Bên B về bất cứ vấn đề gì liên quan đến hợp đồng, trừ khi Bên B đã nêu cụ thể:</w:t>
      </w:r>
      <w:r/>
    </w:p>
    <w:p w14:paraId="7231E0C3" w14:textId="77777777">
      <w:pPr>
        <w:widowControl w:val="false"/>
        <w:pBdr/>
        <w:spacing w:after="120" w:before="120" w:line="360" w:lineRule="exact"/>
        <w:ind w:firstLine="567"/>
        <w:jc w:val="both"/>
        <w:rPr/>
      </w:pPr>
      <w:r>
        <w:t xml:space="preserve">- Trong quyết toán hợp đồng.</w:t>
      </w:r>
      <w:r/>
    </w:p>
    <w:p w14:paraId="7E889CDC" w14:textId="77777777">
      <w:pPr>
        <w:widowControl w:val="false"/>
        <w:pBdr/>
        <w:spacing w:after="120" w:before="120" w:line="360" w:lineRule="exact"/>
        <w:ind w:firstLine="567"/>
        <w:jc w:val="both"/>
        <w:rPr/>
      </w:pPr>
      <w:r>
        <w:t xml:space="preserve">- Từ những vấn đề và công việc nảy sinh sau khi ký Biên bản xác nhận việc hoàn thành nghĩa vụ theo hợp đồng của Bên B trong bản quyết toán hợp đồng được nêu trong khoản 11.1 [quyết toán hợp đồng].</w:t>
      </w:r>
      <w:r/>
    </w:p>
    <w:p w14:paraId="59F6A639" w14:textId="77777777">
      <w:pPr>
        <w:widowControl w:val="false"/>
        <w:pBdr/>
        <w:spacing w:after="120" w:before="120" w:line="360" w:lineRule="exact"/>
        <w:ind w:firstLine="567"/>
        <w:jc w:val="both"/>
        <w:rPr>
          <w:b/>
          <w:bCs/>
        </w:rPr>
      </w:pPr>
      <w:r>
        <w:rPr>
          <w:b/>
          <w:bCs/>
        </w:rPr>
        <w:t xml:space="preserve">Điều 12. Điều khoản chung</w:t>
      </w:r>
      <w:r>
        <w:rPr>
          <w:b/>
          <w:bCs/>
        </w:rPr>
      </w:r>
    </w:p>
    <w:p w14:paraId="6653ADC0" w14:textId="77777777">
      <w:pPr>
        <w:widowControl w:val="false"/>
        <w:pBdr/>
        <w:spacing w:after="120" w:before="120" w:line="360" w:lineRule="exact"/>
        <w:ind w:firstLine="567"/>
        <w:jc w:val="both"/>
        <w:rPr>
          <w:spacing w:val="10"/>
        </w:rPr>
      </w:pPr>
      <w:r>
        <w:rPr>
          <w:spacing w:val="10"/>
        </w:rPr>
        <w:t xml:space="preserve">12.1. Hợp đồng này và tất cả các tài liệu, thông tin liên quan đến hợp đồng sẽ được các bên liên quan quản lý theo quy định hiện hành của Nhà nước về bảo mật.</w:t>
      </w:r>
      <w:r>
        <w:rPr>
          <w:spacing w:val="10"/>
        </w:rPr>
      </w:r>
    </w:p>
    <w:p w14:paraId="333D7ECF" w14:textId="77777777">
      <w:pPr>
        <w:widowControl w:val="false"/>
        <w:pBdr/>
        <w:spacing w:after="120" w:before="120" w:line="360" w:lineRule="exact"/>
        <w:ind w:firstLine="567"/>
        <w:jc w:val="both"/>
        <w:rPr>
          <w:spacing w:val="10"/>
        </w:rPr>
      </w:pPr>
      <w:r>
        <w:rPr>
          <w:spacing w:val="10"/>
        </w:rPr>
        <w:t xml:space="preserve">12.2. Hai bên cam kết thực hiện tốt các điều khoản đã thoả thuận trong hợp đồng.</w:t>
      </w:r>
      <w:r>
        <w:rPr>
          <w:spacing w:val="10"/>
        </w:rPr>
      </w:r>
    </w:p>
    <w:p w14:paraId="59369FCB" w14:textId="524C48F6">
      <w:pPr>
        <w:widowControl w:val="false"/>
        <w:pBdr/>
        <w:spacing w:after="120" w:before="120" w:line="360" w:lineRule="exact"/>
        <w:ind w:firstLine="567"/>
        <w:jc w:val="both"/>
        <w:rPr/>
      </w:pPr>
      <w:r>
        <w:t xml:space="preserve">12.3. Hợp đồng này gồm 0</w:t>
      </w:r>
      <w:r>
        <w:rPr>
          <w:lang w:val="vi-VN"/>
        </w:rPr>
        <w:t xml:space="preserve">8</w:t>
      </w:r>
      <w:r>
        <w:t xml:space="preserve"> trang được lập thành 06 bản, Bên A giữ 04 bản, Bên B giữ 02 bản, có giá trị như nhau.</w:t>
      </w:r>
      <w:r/>
    </w:p>
    <w:p w14:paraId="1F9D0B5C" w14:textId="5A98C948">
      <w:pPr>
        <w:widowControl w:val="false"/>
        <w:pBdr/>
        <w:spacing w:after="120" w:before="120" w:line="360" w:lineRule="exact"/>
        <w:ind w:firstLine="567"/>
        <w:jc w:val="both"/>
        <w:rPr/>
      </w:pPr>
      <w:r>
        <w:t xml:space="preserve">12.4. </w:t>
      </w:r>
      <w:r>
        <w:rPr>
          <w:lang w:val="vi-VN"/>
        </w:rPr>
        <w:t xml:space="preserve">Hợp đồng có hiệu lực kể từ thời điểm Bên A </w:t>
      </w:r>
      <w:r>
        <w:t xml:space="preserve">bàn </w:t>
      </w:r>
      <w:r>
        <w:rPr>
          <w:lang w:val="vi-VN"/>
        </w:rPr>
        <w:t xml:space="preserve">giao đầy đủ hồ sơ, tài liệu, số liệu và các điều kiện cần thiết để Bên B triển khai thực hiện công việc</w:t>
      </w:r>
      <w:r>
        <w:t xml:space="preserve">.</w:t>
      </w:r>
      <w:r/>
    </w:p>
    <w:tbl>
      <w:tblPr>
        <w:tblStyle w:val="789"/>
        <w:tblInd w:w="-5" w:type="dxa"/>
        <w:tblW w:w="9219" w:type="dxa"/>
        <w:tblBorders/>
        <w:tblLayout w:type="fixed"/>
        <w:tblLook w:val="0000" w:firstRow="0" w:lastRow="0" w:firstColumn="0" w:lastColumn="0" w:noHBand="0" w:noVBand="0"/>
      </w:tblPr>
      <w:tblGrid>
        <w:gridCol w:w="5392"/>
        <w:gridCol w:w="3827"/>
      </w:tblGrid>
      <w:tr>
        <w:trPr>
          <w:trHeight w:val="840"/>
        </w:trPr>
        <w:tc>
          <w:tcPr>
            <w:tcBorders/>
            <w:tcW w:w="5392" w:type="dxa"/>
          </w:tcPr>
          <w:p w14:paraId="66C98F60" w14:textId="77777777">
            <w:pPr>
              <w:pBdr/>
              <w:spacing w:after="120" w:before="120" w:line="360" w:lineRule="exact"/>
              <w:ind/>
              <w:jc w:val="center"/>
              <w:rPr>
                <w:b/>
                <w:bCs/>
              </w:rPr>
            </w:pPr>
            <w:r>
              <w:rPr>
                <w:b/>
                <w:bCs/>
              </w:rPr>
              <w:t xml:space="preserve">ĐẠI DIỆN BÊN A</w:t>
            </w:r>
            <w:r>
              <w:rPr>
                <w:b/>
                <w:bCs/>
              </w:rPr>
            </w:r>
          </w:p>
          <w:p w14:paraId="7C56BD7D" w14:textId="0CF15D26">
            <w:pPr>
              <w:pBdr/>
              <w:spacing w:after="120" w:before="120" w:line="360" w:lineRule="exact"/>
              <w:ind/>
              <w:jc w:val="center"/>
              <w:rPr>
                <w:b/>
                <w:bCs/>
              </w:rPr>
            </w:pPr>
            <w:r>
              <w:rPr>
                <w:b/>
                <w:bCs/>
              </w:rPr>
            </w:r>
            <w:r>
              <w:rPr>
                <w:b/>
                <w:bCs/>
              </w:rPr>
            </w:r>
          </w:p>
        </w:tc>
        <w:tc>
          <w:tcPr>
            <w:tcBorders/>
            <w:tcW w:w="3827" w:type="dxa"/>
          </w:tcPr>
          <w:p w14:paraId="26B06CC8" w14:textId="77777777">
            <w:pPr>
              <w:pBdr/>
              <w:spacing w:after="120" w:before="120" w:line="360" w:lineRule="exact"/>
              <w:ind/>
              <w:jc w:val="center"/>
              <w:rPr>
                <w:b/>
                <w:bCs/>
              </w:rPr>
            </w:pPr>
            <w:r>
              <w:rPr>
                <w:b/>
                <w:bCs/>
              </w:rPr>
              <w:t xml:space="preserve">ĐẠI DIỆN BÊN B</w:t>
            </w:r>
            <w:r>
              <w:rPr>
                <w:b/>
                <w:bCs/>
              </w:rPr>
            </w:r>
          </w:p>
          <w:p w14:paraId="5EA181E7" w14:textId="301767AE">
            <w:pPr>
              <w:pBdr/>
              <w:spacing w:after="120" w:before="120" w:line="360" w:lineRule="exact"/>
              <w:ind/>
              <w:jc w:val="center"/>
              <w:rPr>
                <w:b/>
                <w:bCs/>
              </w:rPr>
            </w:pPr>
            <w:r>
              <w:rPr>
                <w:b/>
                <w:bCs/>
              </w:rPr>
            </w:r>
            <w:r>
              <w:rPr>
                <w:b/>
                <w:bCs/>
              </w:rPr>
            </w:r>
          </w:p>
        </w:tc>
      </w:tr>
    </w:tbl>
    <w:p w14:paraId="5011BD28" w14:textId="77777777">
      <w:pPr>
        <w:pBdr/>
        <w:spacing/>
        <w:ind/>
        <w:rPr>
          <w:lang w:val="en-US"/>
        </w:rPr>
      </w:pPr>
      <w:r>
        <w:rPr>
          <w:lang w:val="en-US"/>
        </w:rPr>
      </w:r>
      <w:r>
        <w:rPr>
          <w:lang w:val="en-US"/>
        </w:rPr>
      </w:r>
    </w:p>
    <w:p w14:paraId="53927BF9" w14:textId="77777777">
      <w:pPr>
        <w:pBdr/>
        <w:spacing w:after="0" w:line="240" w:lineRule="auto"/>
        <w:ind/>
        <w:rPr/>
      </w:pPr>
      <w:r/>
      <w:r/>
    </w:p>
    <w:sectPr>
      <w:headerReference w:type="default" r:id="rId8"/>
      <w:headerReference w:type="even" r:id="rId9"/>
      <w:headerReference w:type="first" r:id="rId10"/>
      <w:footerReference w:type="default" r:id="rId11"/>
      <w:footerReference w:type="even" r:id="rId12"/>
      <w:footerReference w:type="first" r:id="rId13"/>
      <w:footnotePr/>
      <w:endnotePr/>
      <w:type w:val="nextPage"/>
      <w:pgSz w:h="16840" w:orient="portrait" w:w="11907"/>
      <w:pgMar w:top="1134" w:right="851" w:bottom="1134" w:left="1701" w:header="567" w:footer="567"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27C741E" w14:textId="77777777">
      <w:pPr>
        <w:pBdr/>
        <w:spacing w:after="0" w:line="240" w:lineRule="auto"/>
        <w:ind/>
        <w:rPr/>
      </w:pPr>
      <w:r>
        <w:separator/>
      </w:r>
      <w:r/>
    </w:p>
  </w:endnote>
  <w:endnote w:type="continuationSeparator" w:id="0">
    <w:p w14:paraId="5EC576B0"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603030804020204"/>
  </w:font>
  <w:font w:name="Play">
    <w:panose1 w:val="020B06030308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93961737"/>
      <w:docPartObj>
        <w:docPartGallery w:val="Page Numbers (Bottom of Page)"/>
        <w:docPartUnique w:val="true"/>
      </w:docPartObj>
      <w:rPr/>
    </w:sdtPr>
    <w:sdtContent>
      <w:p w14:paraId="10E2CED7" w14:textId="0D51EDDA">
        <w:pPr>
          <w:pStyle w:val="792"/>
          <w:pBdr/>
          <w:spacing/>
          <w:ind/>
          <w:jc w:val="center"/>
          <w:rPr/>
        </w:pPr>
        <w:r>
          <w:fldChar w:fldCharType="begin"/>
        </w:r>
        <w:r>
          <w:instrText xml:space="preserve"> PAGE   \* MERGEFORMAT </w:instrText>
        </w:r>
        <w:r>
          <w:fldChar w:fldCharType="separate"/>
        </w:r>
        <w:r>
          <w:t xml:space="preserve">2</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30E7B2" w14:textId="77777777">
    <w:pPr>
      <w:pStyle w:val="792"/>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C03DB9A" w14:textId="77777777">
    <w:pPr>
      <w:pStyle w:val="79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7902DBB" w14:textId="77777777">
      <w:pPr>
        <w:pBdr/>
        <w:spacing w:after="0" w:line="240" w:lineRule="auto"/>
        <w:ind/>
        <w:rPr/>
      </w:pPr>
      <w:r>
        <w:separator/>
      </w:r>
      <w:r/>
    </w:p>
  </w:footnote>
  <w:footnote w:type="continuationSeparator" w:id="0">
    <w:p w14:paraId="52C864B7"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FA4E4B7" w14:textId="77777777">
    <w:pPr>
      <w:pStyle w:val="790"/>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1DBA12" w14:textId="77777777">
    <w:pPr>
      <w:pStyle w:val="790"/>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E24A69" w14:textId="77777777">
    <w:pPr>
      <w:pStyle w:val="790"/>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lang w:val="vi"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76"/>
    <w:next w:val="77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76"/>
    <w:next w:val="77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76"/>
    <w:next w:val="77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83"/>
    <w:link w:val="777"/>
    <w:uiPriority w:val="9"/>
    <w:pPr>
      <w:pBdr/>
      <w:spacing/>
      <w:ind/>
    </w:pPr>
    <w:rPr>
      <w:rFonts w:ascii="Arial" w:hAnsi="Arial" w:eastAsia="Arial" w:cs="Arial"/>
      <w:color w:val="0f4761" w:themeColor="accent1" w:themeShade="BF"/>
      <w:sz w:val="40"/>
      <w:szCs w:val="40"/>
    </w:rPr>
  </w:style>
  <w:style w:type="character" w:styleId="151">
    <w:name w:val="Heading 2 Char"/>
    <w:basedOn w:val="783"/>
    <w:link w:val="778"/>
    <w:uiPriority w:val="9"/>
    <w:pPr>
      <w:pBdr/>
      <w:spacing/>
      <w:ind/>
    </w:pPr>
    <w:rPr>
      <w:rFonts w:ascii="Arial" w:hAnsi="Arial" w:eastAsia="Arial" w:cs="Arial"/>
      <w:color w:val="0f4761" w:themeColor="accent1" w:themeShade="BF"/>
      <w:sz w:val="32"/>
      <w:szCs w:val="32"/>
    </w:rPr>
  </w:style>
  <w:style w:type="character" w:styleId="152">
    <w:name w:val="Heading 3 Char"/>
    <w:basedOn w:val="783"/>
    <w:link w:val="779"/>
    <w:uiPriority w:val="9"/>
    <w:pPr>
      <w:pBdr/>
      <w:spacing/>
      <w:ind/>
    </w:pPr>
    <w:rPr>
      <w:rFonts w:ascii="Arial" w:hAnsi="Arial" w:eastAsia="Arial" w:cs="Arial"/>
      <w:color w:val="0f4761" w:themeColor="accent1" w:themeShade="BF"/>
      <w:sz w:val="28"/>
      <w:szCs w:val="28"/>
    </w:rPr>
  </w:style>
  <w:style w:type="character" w:styleId="153">
    <w:name w:val="Heading 4 Char"/>
    <w:basedOn w:val="783"/>
    <w:link w:val="780"/>
    <w:uiPriority w:val="9"/>
    <w:pPr>
      <w:pBdr/>
      <w:spacing/>
      <w:ind/>
    </w:pPr>
    <w:rPr>
      <w:rFonts w:ascii="Arial" w:hAnsi="Arial" w:eastAsia="Arial" w:cs="Arial"/>
      <w:i/>
      <w:iCs/>
      <w:color w:val="0f4761" w:themeColor="accent1" w:themeShade="BF"/>
    </w:rPr>
  </w:style>
  <w:style w:type="character" w:styleId="154">
    <w:name w:val="Heading 5 Char"/>
    <w:basedOn w:val="783"/>
    <w:link w:val="781"/>
    <w:uiPriority w:val="9"/>
    <w:pPr>
      <w:pBdr/>
      <w:spacing/>
      <w:ind/>
    </w:pPr>
    <w:rPr>
      <w:rFonts w:ascii="Arial" w:hAnsi="Arial" w:eastAsia="Arial" w:cs="Arial"/>
      <w:color w:val="0f4761" w:themeColor="accent1" w:themeShade="BF"/>
    </w:rPr>
  </w:style>
  <w:style w:type="character" w:styleId="155">
    <w:name w:val="Heading 6 Char"/>
    <w:basedOn w:val="783"/>
    <w:link w:val="782"/>
    <w:uiPriority w:val="9"/>
    <w:pPr>
      <w:pBdr/>
      <w:spacing/>
      <w:ind/>
    </w:pPr>
    <w:rPr>
      <w:rFonts w:ascii="Arial" w:hAnsi="Arial" w:eastAsia="Arial" w:cs="Arial"/>
      <w:i/>
      <w:iCs/>
      <w:color w:val="595959" w:themeColor="text1" w:themeTint="A6"/>
    </w:rPr>
  </w:style>
  <w:style w:type="character" w:styleId="156">
    <w:name w:val="Heading 7 Char"/>
    <w:basedOn w:val="783"/>
    <w:link w:val="145"/>
    <w:uiPriority w:val="9"/>
    <w:pPr>
      <w:pBdr/>
      <w:spacing/>
      <w:ind/>
    </w:pPr>
    <w:rPr>
      <w:rFonts w:ascii="Arial" w:hAnsi="Arial" w:eastAsia="Arial" w:cs="Arial"/>
      <w:color w:val="595959" w:themeColor="text1" w:themeTint="A6"/>
    </w:rPr>
  </w:style>
  <w:style w:type="character" w:styleId="157">
    <w:name w:val="Heading 8 Char"/>
    <w:basedOn w:val="783"/>
    <w:link w:val="146"/>
    <w:uiPriority w:val="9"/>
    <w:pPr>
      <w:pBdr/>
      <w:spacing/>
      <w:ind/>
    </w:pPr>
    <w:rPr>
      <w:rFonts w:ascii="Arial" w:hAnsi="Arial" w:eastAsia="Arial" w:cs="Arial"/>
      <w:i/>
      <w:iCs/>
      <w:color w:val="272727" w:themeColor="text1" w:themeTint="D8"/>
    </w:rPr>
  </w:style>
  <w:style w:type="character" w:styleId="158">
    <w:name w:val="Heading 9 Char"/>
    <w:basedOn w:val="783"/>
    <w:link w:val="147"/>
    <w:uiPriority w:val="9"/>
    <w:pPr>
      <w:pBdr/>
      <w:spacing/>
      <w:ind/>
    </w:pPr>
    <w:rPr>
      <w:rFonts w:ascii="Arial" w:hAnsi="Arial" w:eastAsia="Arial" w:cs="Arial"/>
      <w:i/>
      <w:iCs/>
      <w:color w:val="272727" w:themeColor="text1" w:themeTint="D8"/>
    </w:rPr>
  </w:style>
  <w:style w:type="character" w:styleId="160">
    <w:name w:val="Title Char"/>
    <w:basedOn w:val="783"/>
    <w:link w:val="787"/>
    <w:uiPriority w:val="10"/>
    <w:pPr>
      <w:pBdr/>
      <w:spacing/>
      <w:ind/>
    </w:pPr>
    <w:rPr>
      <w:rFonts w:ascii="Arial" w:hAnsi="Arial" w:eastAsia="Arial" w:cs="Arial"/>
      <w:spacing w:val="-10"/>
      <w:sz w:val="56"/>
      <w:szCs w:val="56"/>
    </w:rPr>
  </w:style>
  <w:style w:type="character" w:styleId="162">
    <w:name w:val="Subtitle Char"/>
    <w:basedOn w:val="783"/>
    <w:link w:val="788"/>
    <w:uiPriority w:val="11"/>
    <w:pPr>
      <w:pBdr/>
      <w:spacing/>
      <w:ind/>
    </w:pPr>
    <w:rPr>
      <w:color w:val="595959" w:themeColor="text1" w:themeTint="A6"/>
      <w:spacing w:val="15"/>
      <w:sz w:val="28"/>
      <w:szCs w:val="28"/>
    </w:rPr>
  </w:style>
  <w:style w:type="paragraph" w:styleId="163">
    <w:name w:val="Quote"/>
    <w:basedOn w:val="776"/>
    <w:next w:val="776"/>
    <w:link w:val="164"/>
    <w:uiPriority w:val="29"/>
    <w:qFormat/>
    <w:pPr>
      <w:pBdr/>
      <w:spacing w:before="160"/>
      <w:ind/>
      <w:jc w:val="center"/>
    </w:pPr>
    <w:rPr>
      <w:i/>
      <w:iCs/>
      <w:color w:val="404040" w:themeColor="text1" w:themeTint="BF"/>
    </w:rPr>
  </w:style>
  <w:style w:type="character" w:styleId="164">
    <w:name w:val="Quote Char"/>
    <w:basedOn w:val="783"/>
    <w:link w:val="163"/>
    <w:uiPriority w:val="29"/>
    <w:pPr>
      <w:pBdr/>
      <w:spacing/>
      <w:ind/>
    </w:pPr>
    <w:rPr>
      <w:i/>
      <w:iCs/>
      <w:color w:val="404040" w:themeColor="text1" w:themeTint="BF"/>
    </w:rPr>
  </w:style>
  <w:style w:type="paragraph" w:styleId="165">
    <w:name w:val="List Paragraph"/>
    <w:basedOn w:val="776"/>
    <w:uiPriority w:val="34"/>
    <w:qFormat/>
    <w:pPr>
      <w:pBdr/>
      <w:spacing/>
      <w:ind w:left="720"/>
      <w:contextualSpacing w:val="true"/>
    </w:pPr>
  </w:style>
  <w:style w:type="character" w:styleId="166">
    <w:name w:val="Intense Emphasis"/>
    <w:basedOn w:val="783"/>
    <w:uiPriority w:val="21"/>
    <w:qFormat/>
    <w:pPr>
      <w:pBdr/>
      <w:spacing/>
      <w:ind/>
    </w:pPr>
    <w:rPr>
      <w:i/>
      <w:iCs/>
      <w:color w:val="0f4761" w:themeColor="accent1" w:themeShade="BF"/>
    </w:rPr>
  </w:style>
  <w:style w:type="paragraph" w:styleId="167">
    <w:name w:val="Intense Quote"/>
    <w:basedOn w:val="776"/>
    <w:next w:val="77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83"/>
    <w:link w:val="167"/>
    <w:uiPriority w:val="30"/>
    <w:pPr>
      <w:pBdr/>
      <w:spacing/>
      <w:ind/>
    </w:pPr>
    <w:rPr>
      <w:i/>
      <w:iCs/>
      <w:color w:val="0f4761" w:themeColor="accent1" w:themeShade="BF"/>
    </w:rPr>
  </w:style>
  <w:style w:type="character" w:styleId="169">
    <w:name w:val="Intense Reference"/>
    <w:basedOn w:val="783"/>
    <w:uiPriority w:val="32"/>
    <w:qFormat/>
    <w:pPr>
      <w:pBdr/>
      <w:spacing/>
      <w:ind/>
    </w:pPr>
    <w:rPr>
      <w:b/>
      <w:bCs/>
      <w:smallCaps/>
      <w:color w:val="0f4761" w:themeColor="accent1" w:themeShade="BF"/>
      <w:spacing w:val="5"/>
    </w:rPr>
  </w:style>
  <w:style w:type="paragraph" w:styleId="170">
    <w:name w:val="No Spacing"/>
    <w:basedOn w:val="776"/>
    <w:uiPriority w:val="1"/>
    <w:qFormat/>
    <w:pPr>
      <w:pBdr/>
      <w:spacing w:after="0" w:line="240" w:lineRule="auto"/>
      <w:ind/>
    </w:pPr>
  </w:style>
  <w:style w:type="character" w:styleId="171">
    <w:name w:val="Subtle Emphasis"/>
    <w:basedOn w:val="783"/>
    <w:uiPriority w:val="19"/>
    <w:qFormat/>
    <w:pPr>
      <w:pBdr/>
      <w:spacing/>
      <w:ind/>
    </w:pPr>
    <w:rPr>
      <w:i/>
      <w:iCs/>
      <w:color w:val="404040" w:themeColor="text1" w:themeTint="BF"/>
    </w:rPr>
  </w:style>
  <w:style w:type="character" w:styleId="172">
    <w:name w:val="Emphasis"/>
    <w:basedOn w:val="783"/>
    <w:uiPriority w:val="20"/>
    <w:qFormat/>
    <w:pPr>
      <w:pBdr/>
      <w:spacing/>
      <w:ind/>
    </w:pPr>
    <w:rPr>
      <w:i/>
      <w:iCs/>
    </w:rPr>
  </w:style>
  <w:style w:type="character" w:styleId="173">
    <w:name w:val="Strong"/>
    <w:basedOn w:val="783"/>
    <w:uiPriority w:val="22"/>
    <w:qFormat/>
    <w:pPr>
      <w:pBdr/>
      <w:spacing/>
      <w:ind/>
    </w:pPr>
    <w:rPr>
      <w:b/>
      <w:bCs/>
    </w:rPr>
  </w:style>
  <w:style w:type="character" w:styleId="174">
    <w:name w:val="Subtle Reference"/>
    <w:basedOn w:val="783"/>
    <w:uiPriority w:val="31"/>
    <w:qFormat/>
    <w:pPr>
      <w:pBdr/>
      <w:spacing/>
      <w:ind/>
    </w:pPr>
    <w:rPr>
      <w:smallCaps/>
      <w:color w:val="5a5a5a" w:themeColor="text1" w:themeTint="A5"/>
    </w:rPr>
  </w:style>
  <w:style w:type="character" w:styleId="175">
    <w:name w:val="Book Title"/>
    <w:basedOn w:val="783"/>
    <w:uiPriority w:val="33"/>
    <w:qFormat/>
    <w:pPr>
      <w:pBdr/>
      <w:spacing/>
      <w:ind/>
    </w:pPr>
    <w:rPr>
      <w:b/>
      <w:bCs/>
      <w:i/>
      <w:iCs/>
      <w:spacing w:val="5"/>
    </w:rPr>
  </w:style>
  <w:style w:type="paragraph" w:styleId="180">
    <w:name w:val="Caption"/>
    <w:basedOn w:val="776"/>
    <w:next w:val="776"/>
    <w:uiPriority w:val="35"/>
    <w:unhideWhenUsed/>
    <w:qFormat/>
    <w:pPr>
      <w:pBdr/>
      <w:spacing w:after="200" w:line="240" w:lineRule="auto"/>
      <w:ind/>
    </w:pPr>
    <w:rPr>
      <w:i/>
      <w:iCs/>
      <w:color w:val="0e2841" w:themeColor="text2"/>
      <w:sz w:val="18"/>
      <w:szCs w:val="18"/>
    </w:rPr>
  </w:style>
  <w:style w:type="paragraph" w:styleId="181">
    <w:name w:val="footnote text"/>
    <w:basedOn w:val="776"/>
    <w:link w:val="182"/>
    <w:uiPriority w:val="99"/>
    <w:semiHidden/>
    <w:unhideWhenUsed/>
    <w:pPr>
      <w:pBdr/>
      <w:spacing w:after="0" w:line="240" w:lineRule="auto"/>
      <w:ind/>
    </w:pPr>
    <w:rPr>
      <w:sz w:val="20"/>
      <w:szCs w:val="20"/>
    </w:rPr>
  </w:style>
  <w:style w:type="character" w:styleId="182">
    <w:name w:val="Footnote Text Char"/>
    <w:basedOn w:val="783"/>
    <w:link w:val="181"/>
    <w:uiPriority w:val="99"/>
    <w:semiHidden/>
    <w:pPr>
      <w:pBdr/>
      <w:spacing/>
      <w:ind/>
    </w:pPr>
    <w:rPr>
      <w:sz w:val="20"/>
      <w:szCs w:val="20"/>
    </w:rPr>
  </w:style>
  <w:style w:type="character" w:styleId="183">
    <w:name w:val="footnote reference"/>
    <w:basedOn w:val="783"/>
    <w:uiPriority w:val="99"/>
    <w:semiHidden/>
    <w:unhideWhenUsed/>
    <w:pPr>
      <w:pBdr/>
      <w:spacing/>
      <w:ind/>
    </w:pPr>
    <w:rPr>
      <w:vertAlign w:val="superscript"/>
    </w:rPr>
  </w:style>
  <w:style w:type="paragraph" w:styleId="184">
    <w:name w:val="endnote text"/>
    <w:basedOn w:val="776"/>
    <w:link w:val="185"/>
    <w:uiPriority w:val="99"/>
    <w:semiHidden/>
    <w:unhideWhenUsed/>
    <w:pPr>
      <w:pBdr/>
      <w:spacing w:after="0" w:line="240" w:lineRule="auto"/>
      <w:ind/>
    </w:pPr>
    <w:rPr>
      <w:sz w:val="20"/>
      <w:szCs w:val="20"/>
    </w:rPr>
  </w:style>
  <w:style w:type="character" w:styleId="185">
    <w:name w:val="Endnote Text Char"/>
    <w:basedOn w:val="783"/>
    <w:link w:val="184"/>
    <w:uiPriority w:val="99"/>
    <w:semiHidden/>
    <w:pPr>
      <w:pBdr/>
      <w:spacing/>
      <w:ind/>
    </w:pPr>
    <w:rPr>
      <w:sz w:val="20"/>
      <w:szCs w:val="20"/>
    </w:rPr>
  </w:style>
  <w:style w:type="character" w:styleId="186">
    <w:name w:val="endnote reference"/>
    <w:basedOn w:val="783"/>
    <w:uiPriority w:val="99"/>
    <w:semiHidden/>
    <w:unhideWhenUsed/>
    <w:pPr>
      <w:pBdr/>
      <w:spacing/>
      <w:ind/>
    </w:pPr>
    <w:rPr>
      <w:vertAlign w:val="superscript"/>
    </w:rPr>
  </w:style>
  <w:style w:type="character" w:styleId="187">
    <w:name w:val="Hyperlink"/>
    <w:basedOn w:val="783"/>
    <w:uiPriority w:val="99"/>
    <w:unhideWhenUsed/>
    <w:pPr>
      <w:pBdr/>
      <w:spacing/>
      <w:ind/>
    </w:pPr>
    <w:rPr>
      <w:color w:val="0563c1" w:themeColor="hyperlink"/>
      <w:u w:val="single"/>
    </w:rPr>
  </w:style>
  <w:style w:type="character" w:styleId="188">
    <w:name w:val="FollowedHyperlink"/>
    <w:basedOn w:val="783"/>
    <w:uiPriority w:val="99"/>
    <w:semiHidden/>
    <w:unhideWhenUsed/>
    <w:pPr>
      <w:pBdr/>
      <w:spacing/>
      <w:ind/>
    </w:pPr>
    <w:rPr>
      <w:color w:val="954f72" w:themeColor="followedHyperlink"/>
      <w:u w:val="single"/>
    </w:rPr>
  </w:style>
  <w:style w:type="paragraph" w:styleId="189">
    <w:name w:val="toc 1"/>
    <w:basedOn w:val="776"/>
    <w:next w:val="776"/>
    <w:uiPriority w:val="39"/>
    <w:unhideWhenUsed/>
    <w:pPr>
      <w:pBdr/>
      <w:spacing w:after="100"/>
      <w:ind/>
    </w:pPr>
  </w:style>
  <w:style w:type="paragraph" w:styleId="190">
    <w:name w:val="toc 2"/>
    <w:basedOn w:val="776"/>
    <w:next w:val="776"/>
    <w:uiPriority w:val="39"/>
    <w:unhideWhenUsed/>
    <w:pPr>
      <w:pBdr/>
      <w:spacing w:after="100"/>
      <w:ind w:left="220"/>
    </w:pPr>
  </w:style>
  <w:style w:type="paragraph" w:styleId="191">
    <w:name w:val="toc 3"/>
    <w:basedOn w:val="776"/>
    <w:next w:val="776"/>
    <w:uiPriority w:val="39"/>
    <w:unhideWhenUsed/>
    <w:pPr>
      <w:pBdr/>
      <w:spacing w:after="100"/>
      <w:ind w:left="440"/>
    </w:pPr>
  </w:style>
  <w:style w:type="paragraph" w:styleId="192">
    <w:name w:val="toc 4"/>
    <w:basedOn w:val="776"/>
    <w:next w:val="776"/>
    <w:uiPriority w:val="39"/>
    <w:unhideWhenUsed/>
    <w:pPr>
      <w:pBdr/>
      <w:spacing w:after="100"/>
      <w:ind w:left="660"/>
    </w:pPr>
  </w:style>
  <w:style w:type="paragraph" w:styleId="193">
    <w:name w:val="toc 5"/>
    <w:basedOn w:val="776"/>
    <w:next w:val="776"/>
    <w:uiPriority w:val="39"/>
    <w:unhideWhenUsed/>
    <w:pPr>
      <w:pBdr/>
      <w:spacing w:after="100"/>
      <w:ind w:left="880"/>
    </w:pPr>
  </w:style>
  <w:style w:type="paragraph" w:styleId="194">
    <w:name w:val="toc 6"/>
    <w:basedOn w:val="776"/>
    <w:next w:val="776"/>
    <w:uiPriority w:val="39"/>
    <w:unhideWhenUsed/>
    <w:pPr>
      <w:pBdr/>
      <w:spacing w:after="100"/>
      <w:ind w:left="1100"/>
    </w:pPr>
  </w:style>
  <w:style w:type="paragraph" w:styleId="195">
    <w:name w:val="toc 7"/>
    <w:basedOn w:val="776"/>
    <w:next w:val="776"/>
    <w:uiPriority w:val="39"/>
    <w:unhideWhenUsed/>
    <w:pPr>
      <w:pBdr/>
      <w:spacing w:after="100"/>
      <w:ind w:left="1320"/>
    </w:pPr>
  </w:style>
  <w:style w:type="paragraph" w:styleId="196">
    <w:name w:val="toc 8"/>
    <w:basedOn w:val="776"/>
    <w:next w:val="776"/>
    <w:uiPriority w:val="39"/>
    <w:unhideWhenUsed/>
    <w:pPr>
      <w:pBdr/>
      <w:spacing w:after="100"/>
      <w:ind w:left="1540"/>
    </w:pPr>
  </w:style>
  <w:style w:type="paragraph" w:styleId="197">
    <w:name w:val="toc 9"/>
    <w:basedOn w:val="776"/>
    <w:next w:val="776"/>
    <w:uiPriority w:val="39"/>
    <w:unhideWhenUsed/>
    <w:pPr>
      <w:pBdr/>
      <w:spacing w:after="100"/>
      <w:ind w:left="1760"/>
    </w:pPr>
  </w:style>
  <w:style w:type="character" w:styleId="198">
    <w:name w:val="Placeholder Text"/>
    <w:basedOn w:val="78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76"/>
    <w:next w:val="776"/>
    <w:uiPriority w:val="99"/>
    <w:unhideWhenUsed/>
    <w:pPr>
      <w:pBdr/>
      <w:spacing w:after="0" w:afterAutospacing="0"/>
      <w:ind/>
    </w:pPr>
  </w:style>
  <w:style w:type="paragraph" w:styleId="776" w:default="1">
    <w:name w:val="Normal"/>
    <w:qFormat/>
    <w:pPr>
      <w:pBdr/>
      <w:spacing/>
      <w:ind/>
    </w:pPr>
  </w:style>
  <w:style w:type="paragraph" w:styleId="777">
    <w:name w:val="Heading 1"/>
    <w:basedOn w:val="776"/>
    <w:next w:val="776"/>
    <w:uiPriority w:val="9"/>
    <w:qFormat/>
    <w:pPr>
      <w:keepNext w:val="true"/>
      <w:keepLines w:val="true"/>
      <w:pBdr/>
      <w:spacing w:after="80" w:before="360"/>
      <w:ind/>
      <w:outlineLvl w:val="0"/>
    </w:pPr>
    <w:rPr>
      <w:rFonts w:ascii="Play" w:hAnsi="Play" w:eastAsia="Play" w:cs="Play"/>
      <w:color w:val="0f4761"/>
      <w:sz w:val="40"/>
      <w:szCs w:val="40"/>
    </w:rPr>
  </w:style>
  <w:style w:type="paragraph" w:styleId="778">
    <w:name w:val="Heading 2"/>
    <w:basedOn w:val="776"/>
    <w:next w:val="776"/>
    <w:uiPriority w:val="9"/>
    <w:semiHidden/>
    <w:unhideWhenUsed/>
    <w:qFormat/>
    <w:pPr>
      <w:keepNext w:val="true"/>
      <w:keepLines w:val="true"/>
      <w:pBdr/>
      <w:spacing w:after="80" w:before="160"/>
      <w:ind/>
      <w:outlineLvl w:val="1"/>
    </w:pPr>
    <w:rPr>
      <w:rFonts w:ascii="Play" w:hAnsi="Play" w:eastAsia="Play" w:cs="Play"/>
      <w:color w:val="0f4761"/>
      <w:sz w:val="32"/>
      <w:szCs w:val="32"/>
    </w:rPr>
  </w:style>
  <w:style w:type="paragraph" w:styleId="779">
    <w:name w:val="Heading 3"/>
    <w:basedOn w:val="776"/>
    <w:next w:val="776"/>
    <w:uiPriority w:val="9"/>
    <w:semiHidden/>
    <w:unhideWhenUsed/>
    <w:qFormat/>
    <w:pPr>
      <w:keepNext w:val="true"/>
      <w:keepLines w:val="true"/>
      <w:pBdr/>
      <w:spacing w:after="80" w:before="160"/>
      <w:ind/>
      <w:outlineLvl w:val="2"/>
    </w:pPr>
    <w:rPr>
      <w:rFonts w:ascii="Aptos" w:hAnsi="Aptos" w:eastAsia="Aptos" w:cs="Aptos"/>
      <w:color w:val="0f4761"/>
    </w:rPr>
  </w:style>
  <w:style w:type="paragraph" w:styleId="780">
    <w:name w:val="Heading 4"/>
    <w:basedOn w:val="776"/>
    <w:next w:val="776"/>
    <w:uiPriority w:val="9"/>
    <w:semiHidden/>
    <w:unhideWhenUsed/>
    <w:qFormat/>
    <w:pPr>
      <w:keepNext w:val="true"/>
      <w:keepLines w:val="true"/>
      <w:pBdr/>
      <w:spacing w:after="40" w:before="80"/>
      <w:ind/>
      <w:outlineLvl w:val="3"/>
    </w:pPr>
    <w:rPr>
      <w:rFonts w:ascii="Aptos" w:hAnsi="Aptos" w:eastAsia="Aptos" w:cs="Aptos"/>
      <w:i/>
      <w:iCs/>
      <w:color w:val="0f4761"/>
      <w:sz w:val="22"/>
      <w:szCs w:val="22"/>
    </w:rPr>
  </w:style>
  <w:style w:type="paragraph" w:styleId="781">
    <w:name w:val="Heading 5"/>
    <w:basedOn w:val="776"/>
    <w:next w:val="776"/>
    <w:uiPriority w:val="9"/>
    <w:semiHidden/>
    <w:unhideWhenUsed/>
    <w:qFormat/>
    <w:pPr>
      <w:keepNext w:val="true"/>
      <w:keepLines w:val="true"/>
      <w:pBdr/>
      <w:spacing w:after="40" w:before="80"/>
      <w:ind/>
      <w:outlineLvl w:val="4"/>
    </w:pPr>
    <w:rPr>
      <w:rFonts w:ascii="Aptos" w:hAnsi="Aptos" w:eastAsia="Aptos" w:cs="Aptos"/>
      <w:color w:val="0f4761"/>
      <w:sz w:val="22"/>
      <w:szCs w:val="22"/>
    </w:rPr>
  </w:style>
  <w:style w:type="paragraph" w:styleId="782">
    <w:name w:val="Heading 6"/>
    <w:basedOn w:val="776"/>
    <w:next w:val="776"/>
    <w:uiPriority w:val="9"/>
    <w:semiHidden/>
    <w:unhideWhenUsed/>
    <w:qFormat/>
    <w:pPr>
      <w:keepNext w:val="true"/>
      <w:keepLines w:val="true"/>
      <w:pBdr/>
      <w:spacing w:after="0" w:before="40"/>
      <w:ind/>
      <w:outlineLvl w:val="5"/>
    </w:pPr>
    <w:rPr>
      <w:rFonts w:ascii="Aptos" w:hAnsi="Aptos" w:eastAsia="Aptos" w:cs="Aptos"/>
      <w:i/>
      <w:iCs/>
      <w:color w:val="595959"/>
      <w:sz w:val="22"/>
      <w:szCs w:val="22"/>
    </w:rPr>
  </w:style>
  <w:style w:type="character" w:styleId="783" w:default="1">
    <w:name w:val="Default Paragraph Font"/>
    <w:uiPriority w:val="1"/>
    <w:semiHidden/>
    <w:unhideWhenUsed/>
    <w:pPr>
      <w:pBdr/>
      <w:spacing/>
      <w:ind/>
    </w:pPr>
  </w:style>
  <w:style w:type="table" w:styleId="7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5" w:default="1">
    <w:name w:val="No List"/>
    <w:uiPriority w:val="99"/>
    <w:semiHidden/>
    <w:unhideWhenUsed/>
    <w:pPr>
      <w:pBdr/>
      <w:spacing/>
      <w:ind/>
    </w:pPr>
  </w:style>
  <w:style w:type="table" w:styleId="786"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7">
    <w:name w:val="Title"/>
    <w:basedOn w:val="776"/>
    <w:next w:val="776"/>
    <w:uiPriority w:val="10"/>
    <w:qFormat/>
    <w:pPr>
      <w:pBdr/>
      <w:spacing w:after="80" w:line="240" w:lineRule="auto"/>
      <w:ind/>
    </w:pPr>
    <w:rPr>
      <w:rFonts w:ascii="Play" w:hAnsi="Play" w:eastAsia="Play" w:cs="Play"/>
      <w:sz w:val="56"/>
      <w:szCs w:val="56"/>
    </w:rPr>
  </w:style>
  <w:style w:type="paragraph" w:styleId="788">
    <w:name w:val="Subtitle"/>
    <w:basedOn w:val="776"/>
    <w:next w:val="776"/>
    <w:uiPriority w:val="11"/>
    <w:qFormat/>
    <w:pPr>
      <w:pBdr/>
      <w:spacing/>
      <w:ind/>
    </w:pPr>
    <w:rPr>
      <w:rFonts w:ascii="Aptos" w:hAnsi="Aptos" w:eastAsia="Aptos" w:cs="Aptos"/>
      <w:color w:val="595959"/>
    </w:rPr>
  </w:style>
  <w:style w:type="table" w:styleId="789" w:customStyle="1">
    <w:name w:val="StGen0"/>
    <w:basedOn w:val="786"/>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0">
    <w:name w:val="Header"/>
    <w:basedOn w:val="776"/>
    <w:link w:val="791"/>
    <w:uiPriority w:val="99"/>
    <w:unhideWhenUsed/>
    <w:pPr>
      <w:pBdr/>
      <w:tabs>
        <w:tab w:val="center" w:leader="none" w:pos="4680"/>
        <w:tab w:val="right" w:leader="none" w:pos="9360"/>
      </w:tabs>
      <w:spacing w:after="0" w:line="240" w:lineRule="auto"/>
      <w:ind/>
    </w:pPr>
  </w:style>
  <w:style w:type="character" w:styleId="791" w:customStyle="1">
    <w:name w:val="Header Char"/>
    <w:basedOn w:val="783"/>
    <w:link w:val="790"/>
    <w:uiPriority w:val="99"/>
    <w:pPr>
      <w:pBdr/>
      <w:spacing/>
      <w:ind/>
    </w:pPr>
  </w:style>
  <w:style w:type="paragraph" w:styleId="792">
    <w:name w:val="Footer"/>
    <w:basedOn w:val="776"/>
    <w:link w:val="793"/>
    <w:uiPriority w:val="99"/>
    <w:unhideWhenUsed/>
    <w:pPr>
      <w:pBdr/>
      <w:tabs>
        <w:tab w:val="center" w:leader="none" w:pos="4680"/>
        <w:tab w:val="right" w:leader="none" w:pos="9360"/>
      </w:tabs>
      <w:spacing w:after="0" w:line="240" w:lineRule="auto"/>
      <w:ind/>
    </w:pPr>
  </w:style>
  <w:style w:type="character" w:styleId="793" w:customStyle="1">
    <w:name w:val="Footer Char"/>
    <w:basedOn w:val="783"/>
    <w:link w:val="792"/>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header" Target="header3.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QemRQ3UwsOyNbwR45iNiuBUYww==">CgMxLjAyDmguNjQ0M2dnejd0dmlpMg5oLnd6a3Z1MmdybzV0dTIOaC5tcHE1NTdocWk5Zm0yDmguNWlmbzd6dzgwaTVrMg5oLjR5ODZrYzJyODBxMTIOaC41OWt6bDdxZ2xvczgyDmguOHNhN2c3M2Nwemd0Mg5oLjliZDd3NTQ2ZDIyeDIOaC43c3JjdjEyNHo5ajI4AHIhMWhjNE1SdFNmODFUZE1pVnpSTHVQSUxNUGE3SHRVLUZK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Đinh Công Nhất</cp:lastModifiedBy>
  <cp:revision>31</cp:revision>
  <dcterms:created xsi:type="dcterms:W3CDTF">2026-06-23T03:04:00Z</dcterms:created>
  <dcterms:modified xsi:type="dcterms:W3CDTF">2026-07-29T06:55:38Z</dcterms:modified>
</cp:coreProperties>
</file>