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PHỤ LỤC KHÁI TOÁN KIỂM THỬ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Hạng mục</w:t>
            </w:r>
          </w:p>
        </w:tc>
        <w:tc>
          <w:p>
            <w:r>
              <w:t xml:space="preserve">Giá trị</w:t>
            </w:r>
          </w:p>
        </w:tc>
      </w:tr>
      <w:tr>
        <w:tc>
          <w:p>
            <w:r>
              <w:t xml:space="preserve">Thiết bị kiểm thử</w:t>
            </w:r>
          </w:p>
        </w:tc>
        <w:tc>
          <w:p>
            <w:r>
              <w:t xml:space="preserve">2.515.000.000</w:t>
            </w:r>
          </w:p>
        </w:tc>
      </w:tr>
    </w:tbl>
    <w:p>
      <w:r>
        <w:drawing>
          <wp:inline distT="0" distB="0" distL="0" distR="0">
            <wp:extent cx="9525" cy="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158d97eb0e7d8d06715c6fa2b7cf76954d5bfd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2026-07-31T02:46:27.932Z</dcterms:created>
  <dcterms:modified xsi:type="dcterms:W3CDTF">2026-07-31T02:46:27.932Z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