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color w:val="1A3A5C"/>
          <w:sz w:val="34"/>
          <w:szCs w:val="34"/>
        </w:rPr>
        <w:t xml:space="preserve">KỊCH BẢN VIDEO TUYÊN TRUYỀN PHÁP LUẬT</w:t>
      </w:r>
    </w:p>
    <w:p>
      <w:pPr>
        <w:spacing w:after="100" w:before="0"/>
        <w:jc w:val="center"/>
      </w:pPr>
      <w:r>
        <w:rPr>
          <w:rFonts w:ascii="Times New Roman" w:cs="Times New Roman" w:eastAsia="Times New Roman" w:hAnsi="Times New Roman"/>
          <w:b/>
          <w:bCs/>
          <w:i w:val="false"/>
          <w:iCs w:val="false"/>
          <w:color w:val="922B21"/>
          <w:sz w:val="28"/>
          <w:szCs w:val="28"/>
        </w:rPr>
        <w:t xml:space="preserve">"TRỐN ĐÓNG BẢO HIỂM THẤT NGHIỆP – HẬU QUẢ KHÔNG NGỜ!"</w:t>
      </w:r>
    </w:p>
    <w:tbl>
      <w:tblPr>
        <w:tblW w:type="dxa" w:w="13680"/>
        <w:tblBorders>
          <w:top w:val="none"/>
          <w:left w:val="none"/>
          <w:bottom w:val="none"/>
          <w:right w:val="none"/>
          <w:insideH w:val="single" w:color="auto" w:sz="4"/>
          <w:insideV w:val="single" w:color="auto" w:sz="4"/>
        </w:tblBorders>
      </w:tblPr>
      <w:tblGrid>
        <w:gridCol w:w="2200"/>
        <w:gridCol w:w="4640"/>
        <w:gridCol w:w="2200"/>
        <w:gridCol w:w="4640"/>
      </w:tblGrid>
      <w:tr>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Tên video:</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922B21"/>
                <w:sz w:val="21"/>
                <w:szCs w:val="21"/>
              </w:rPr>
              <w:t xml:space="preserve">"TRỐN ĐÓNG BẢO HIỂM THẤT NGHIỆP – HẬU QUẢ KHÔNG NGỜ!"</w:t>
            </w:r>
          </w:p>
        </w:tc>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Thời lượng:</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E6B3A"/>
                <w:sz w:val="21"/>
                <w:szCs w:val="21"/>
              </w:rPr>
              <w:t xml:space="preserve">5 phút 30 giây</w:t>
            </w:r>
          </w:p>
        </w:tc>
      </w:tr>
      <w:tr>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Phong cách:</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val="false"/>
                <w:bCs w:val="false"/>
                <w:i w:val="false"/>
                <w:iCs w:val="false"/>
                <w:color w:val="1A1A2E"/>
                <w:sz w:val="21"/>
                <w:szCs w:val="21"/>
              </w:rPr>
              <w:t xml:space="preserve">Phim ngắn tình huống kết hợp đồ họa thông tin (Motion Graphic), màu sắc chuyên nghiệp</w:t>
            </w:r>
          </w:p>
        </w:tc>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Đối tượng:</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val="false"/>
                <w:bCs w:val="false"/>
                <w:i w:val="false"/>
                <w:iCs w:val="false"/>
                <w:color w:val="1A1A2E"/>
                <w:sz w:val="21"/>
                <w:szCs w:val="21"/>
              </w:rPr>
              <w:t xml:space="preserve">Chủ doanh nghiệp, cán bộ phụ trách nhân sự, người lao động</w:t>
            </w:r>
          </w:p>
        </w:tc>
      </w:tr>
      <w:tr>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Căn cứ pháp lý:</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val="false"/>
                <w:bCs w:val="false"/>
                <w:i w:val="false"/>
                <w:iCs w:val="false"/>
                <w:color w:val="1A1A2E"/>
                <w:sz w:val="21"/>
                <w:szCs w:val="21"/>
              </w:rPr>
              <w:t xml:space="preserve">Điều 46 – Nghị định 283/2026/NĐ-CP ngày 15/7/2026 về xử phạt vi phạm hành chính trong lĩnh vực lao động, bảo hiểm xã hội</w:t>
            </w:r>
          </w:p>
        </w:tc>
        <w:tc>
          <w:tcPr>
            <w:tcW w:type="dxa" w:w="2200"/>
            <w:tcBorders>
              <w:top w:val="single" w:color="2471A3" w:sz="4"/>
              <w:left w:val="single" w:color="2471A3" w:sz="4"/>
              <w:bottom w:val="single" w:color="2471A3" w:sz="4"/>
              <w:right w:val="single" w:color="2471A3" w:sz="4"/>
            </w:tcBorders>
            <w:shd w:fill="D6EAF8" w:color="D6EAF8"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bCs/>
                <w:i w:val="false"/>
                <w:iCs w:val="false"/>
                <w:color w:val="1A3A5C"/>
                <w:sz w:val="21"/>
                <w:szCs w:val="21"/>
              </w:rPr>
              <w:t xml:space="preserve">Mô-típ:</w:t>
            </w:r>
          </w:p>
        </w:tc>
        <w:tc>
          <w:tcPr>
            <w:tcW w:type="dxa" w:w="4640"/>
            <w:tcBorders>
              <w:top w:val="single" w:color="2471A3" w:sz="4"/>
              <w:left w:val="single" w:color="2471A3" w:sz="4"/>
              <w:bottom w:val="single" w:color="2471A3" w:sz="4"/>
              <w:right w:val="single" w:color="2471A3" w:sz="4"/>
            </w:tcBorders>
            <w:shd w:fill="FFFFFF" w:color="FFFFFF" w:val="clear"/>
            <w:tcMar>
              <w:top w:type="dxa" w:w="50"/>
              <w:left w:type="dxa" w:w="110"/>
              <w:bottom w:type="dxa" w:w="50"/>
              <w:right w:type="dxa" w:w="110"/>
            </w:tcMar>
            <w:vAlign w:val="top"/>
          </w:tcPr>
          <w:p>
            <w:pPr>
              <w:spacing w:after="50" w:before="0"/>
              <w:jc w:val="left"/>
            </w:pPr>
            <w:r>
              <w:rPr>
                <w:rFonts w:ascii="Times New Roman" w:cs="Times New Roman" w:eastAsia="Times New Roman" w:hAnsi="Times New Roman"/>
                <w:b w:val="false"/>
                <w:bCs w:val="false"/>
                <w:i w:val="false"/>
                <w:iCs w:val="false"/>
                <w:color w:val="1A1A2E"/>
                <w:sz w:val="21"/>
                <w:szCs w:val="21"/>
              </w:rPr>
              <w:t xml:space="preserve">Doanh nghiệp vi phạm → bị thanh tra phát hiện → nhận hậu quả → nhận thức, sửa đổi</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13680"/>
      </w:tblGrid>
      <w:tr>
        <w:tc>
          <w:tcPr>
            <w:tcW w:type="pct" w:w="100%"/>
            <w:tcBorders>
              <w:top w:val="single" w:color="37474F" w:sz="6"/>
              <w:left w:val="single" w:color="37474F" w:sz="6"/>
              <w:bottom w:val="single" w:color="37474F" w:sz="6"/>
              <w:right w:val="single" w:color="37474F" w:sz="6"/>
            </w:tcBorders>
            <w:shd w:fill="37474F" w:color="37474F" w:val="clear"/>
            <w:tcMar>
              <w:top w:type="dxa" w:w="75"/>
              <w:left w:type="dxa" w:w="160"/>
              <w:bottom w:type="dxa" w:w="75"/>
              <w:right w:type="dxa" w:w="14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NHÂN VẬT CHÍNH</w:t>
            </w:r>
            <w:r>
              <w:rPr>
                <w:rFonts w:ascii="Times New Roman" w:cs="Times New Roman" w:eastAsia="Times New Roman" w:hAnsi="Times New Roman"/>
                <w:b w:val="false"/>
                <w:bCs w:val="false"/>
                <w:i w:val="false"/>
                <w:iCs w:val="false"/>
                <w:color w:val="D6EAF8"/>
                <w:sz w:val="18"/>
                <w:szCs w:val="18"/>
              </w:rPr>
              <w:t xml:space="preserve">   </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4560"/>
        <w:gridCol w:w="4560"/>
        <w:gridCol w:w="4560"/>
      </w:tblGrid>
      <w:tr>
        <w:tc>
          <w:tcPr>
            <w:tcW w:type="dxa" w:w="4560"/>
            <w:tcBorders>
              <w:top w:val="single" w:color="922B21" w:sz="4"/>
              <w:left w:val="single" w:color="922B21" w:sz="4"/>
              <w:bottom w:val="single" w:color="922B21" w:sz="4"/>
              <w:right w:val="single" w:color="922B21" w:sz="4"/>
            </w:tcBorders>
            <w:shd w:fill="FDEDEC" w:color="FDEDEC" w:val="clear"/>
            <w:tcMar>
              <w:top w:type="dxa" w:w="90"/>
              <w:left w:type="dxa" w:w="130"/>
              <w:bottom w:type="dxa" w:w="90"/>
              <w:right w:type="dxa" w:w="130"/>
            </w:tcMar>
            <w:vAlign w:val="top"/>
          </w:tcPr>
          <w:p>
            <w:pPr>
              <w:spacing w:after="20" w:before="0"/>
              <w:jc w:val="center"/>
            </w:pPr>
            <w:r>
              <w:rPr>
                <w:rFonts w:ascii="Times New Roman" w:cs="Times New Roman" w:eastAsia="Times New Roman" w:hAnsi="Times New Roman"/>
                <w:b/>
                <w:bCs/>
                <w:i w:val="false"/>
                <w:iCs w:val="false"/>
                <w:color w:val="922B21"/>
                <w:sz w:val="20"/>
                <w:szCs w:val="20"/>
              </w:rPr>
              <w:t xml:space="preserve">GIÁM ĐỐC HÙNG</w:t>
            </w:r>
          </w:p>
          <w:p>
            <w:pPr>
              <w:spacing w:after="50" w:before="0"/>
              <w:jc w:val="left"/>
            </w:pPr>
            <w:r>
              <w:rPr>
                <w:rFonts w:ascii="Times New Roman" w:cs="Times New Roman" w:eastAsia="Times New Roman" w:hAnsi="Times New Roman"/>
                <w:b w:val="false"/>
                <w:bCs w:val="false"/>
                <w:i w:val="false"/>
                <w:iCs w:val="false"/>
                <w:color w:val="1A1A2E"/>
                <w:sz w:val="19"/>
                <w:szCs w:val="19"/>
              </w:rPr>
              <w:t xml:space="preserve">Nam, khoảng 45 tuổi, vest đen lịch sự. Tính cách: tự mãn, coi thường quy định, chỉ nghĩ đến lợi nhuận trước mắt. Diễn biến tâm lý từ tự tin → lo lắng → bàng hoàng → hối lỗi.</w:t>
            </w:r>
          </w:p>
        </w:tc>
        <w:tc>
          <w:tcPr>
            <w:tcW w:type="dxa" w:w="4560"/>
            <w:tcBorders>
              <w:top w:val="single" w:color="1E6B3A" w:sz="4"/>
              <w:left w:val="single" w:color="1E6B3A" w:sz="4"/>
              <w:bottom w:val="single" w:color="1E6B3A" w:sz="4"/>
              <w:right w:val="single" w:color="1E6B3A" w:sz="4"/>
            </w:tcBorders>
            <w:shd w:fill="E9F7EF" w:color="E9F7EF" w:val="clear"/>
            <w:tcMar>
              <w:top w:type="dxa" w:w="90"/>
              <w:left w:type="dxa" w:w="130"/>
              <w:bottom w:type="dxa" w:w="90"/>
              <w:right w:type="dxa" w:w="130"/>
            </w:tcMar>
            <w:vAlign w:val="top"/>
          </w:tcPr>
          <w:p>
            <w:pPr>
              <w:spacing w:after="20" w:before="0"/>
              <w:jc w:val="center"/>
            </w:pPr>
            <w:r>
              <w:rPr>
                <w:rFonts w:ascii="Times New Roman" w:cs="Times New Roman" w:eastAsia="Times New Roman" w:hAnsi="Times New Roman"/>
                <w:b/>
                <w:bCs/>
                <w:i w:val="false"/>
                <w:iCs w:val="false"/>
                <w:color w:val="1E6B3A"/>
                <w:sz w:val="20"/>
                <w:szCs w:val="20"/>
              </w:rPr>
              <w:t xml:space="preserve">NHÂN VIÊN LAN</w:t>
            </w:r>
          </w:p>
          <w:p>
            <w:pPr>
              <w:spacing w:after="50" w:before="0"/>
              <w:jc w:val="left"/>
            </w:pPr>
            <w:r>
              <w:rPr>
                <w:rFonts w:ascii="Times New Roman" w:cs="Times New Roman" w:eastAsia="Times New Roman" w:hAnsi="Times New Roman"/>
                <w:b w:val="false"/>
                <w:bCs w:val="false"/>
                <w:i w:val="false"/>
                <w:iCs w:val="false"/>
                <w:color w:val="1A1A2E"/>
                <w:sz w:val="19"/>
                <w:szCs w:val="19"/>
              </w:rPr>
              <w:t xml:space="preserve">Nữ, khoảng 30 tuổi, kính gọng tròn, vẻ cẩn thận và có trách nhiệm. Là kế toán của công ty, biết quy định nhưng bị áp đặt. Nhân vật thể hiện sự lo lắng, lương tri của người tuân thủ pháp luật.</w:t>
            </w:r>
          </w:p>
        </w:tc>
        <w:tc>
          <w:tcPr>
            <w:tcW w:type="dxa" w:w="4560"/>
            <w:tcBorders>
              <w:top w:val="single" w:color="2471A3" w:sz="4"/>
              <w:left w:val="single" w:color="2471A3" w:sz="4"/>
              <w:bottom w:val="single" w:color="2471A3" w:sz="4"/>
              <w:right w:val="single" w:color="2471A3" w:sz="4"/>
            </w:tcBorders>
            <w:shd w:fill="D6EAF8" w:color="D6EAF8" w:val="clear"/>
            <w:tcMar>
              <w:top w:type="dxa" w:w="90"/>
              <w:left w:type="dxa" w:w="130"/>
              <w:bottom w:type="dxa" w:w="90"/>
              <w:right w:type="dxa" w:w="130"/>
            </w:tcMar>
            <w:vAlign w:val="top"/>
          </w:tcPr>
          <w:p>
            <w:pPr>
              <w:spacing w:after="20" w:before="0"/>
              <w:jc w:val="center"/>
            </w:pPr>
            <w:r>
              <w:rPr>
                <w:rFonts w:ascii="Times New Roman" w:cs="Times New Roman" w:eastAsia="Times New Roman" w:hAnsi="Times New Roman"/>
                <w:b/>
                <w:bCs/>
                <w:i w:val="false"/>
                <w:iCs w:val="false"/>
                <w:color w:val="1A3A5C"/>
                <w:sz w:val="20"/>
                <w:szCs w:val="20"/>
              </w:rPr>
              <w:t xml:space="preserve">THANH TRA VIÊN BÌNH</w:t>
            </w:r>
          </w:p>
          <w:p>
            <w:pPr>
              <w:spacing w:after="50" w:before="0"/>
              <w:jc w:val="left"/>
            </w:pPr>
            <w:r>
              <w:rPr>
                <w:rFonts w:ascii="Times New Roman" w:cs="Times New Roman" w:eastAsia="Times New Roman" w:hAnsi="Times New Roman"/>
                <w:b w:val="false"/>
                <w:bCs w:val="false"/>
                <w:i w:val="false"/>
                <w:iCs w:val="false"/>
                <w:color w:val="1A1A2E"/>
                <w:sz w:val="19"/>
                <w:szCs w:val="19"/>
              </w:rPr>
              <w:t xml:space="preserve">Nam, khoảng 40 tuổi, đồng phục thanh tra Bảo hiểm Xã hội. Tính cách: điềm tĩnh, dứt khoát, công tâm. Giải thích quy định rõ ràng, không gay gắt nhưng cũng không khoan nhượng trước vi phạm.</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13680"/>
      </w:tblGrid>
      <w:tr>
        <w:tc>
          <w:tcPr>
            <w:tcW w:type="pct" w:w="100%"/>
            <w:tcBorders>
              <w:top w:val="single" w:color="922B21" w:sz="6"/>
              <w:left w:val="single" w:color="922B21" w:sz="6"/>
              <w:bottom w:val="single" w:color="922B21" w:sz="6"/>
              <w:right w:val="single" w:color="922B21" w:sz="6"/>
            </w:tcBorders>
            <w:shd w:fill="922B21" w:color="922B21" w:val="clear"/>
            <w:tcMar>
              <w:top w:type="dxa" w:w="75"/>
              <w:left w:type="dxa" w:w="160"/>
              <w:bottom w:type="dxa" w:w="75"/>
              <w:right w:type="dxa" w:w="14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 – XÂY DỰNG TÌNH HUỐNG VI PHẠM</w:t>
            </w:r>
            <w:r>
              <w:rPr>
                <w:rFonts w:ascii="Times New Roman" w:cs="Times New Roman" w:eastAsia="Times New Roman" w:hAnsi="Times New Roman"/>
                <w:b w:val="false"/>
                <w:bCs w:val="false"/>
                <w:i w:val="false"/>
                <w:iCs w:val="false"/>
                <w:color w:val="D6EAF8"/>
                <w:sz w:val="18"/>
                <w:szCs w:val="18"/>
              </w:rPr>
              <w:t xml:space="preserve">   (Cảnh 1 → Cảnh 3)  |  0:00 – 2:10</w:t>
            </w:r>
          </w:p>
        </w:tc>
      </w:tr>
    </w:tbl>
    <w:p>
      <w:pPr>
        <w:spacing w:after="60" w:before="0"/>
      </w:pPr>
    </w:p>
    <w:tbl>
      <w:tblPr>
        <w:tblW w:type="dxa" w:w="13680"/>
        <w:tblBorders>
          <w:top w:val="single" w:color="1A3A5C" w:sz="6"/>
          <w:left w:val="single" w:color="1A3A5C" w:sz="6"/>
          <w:bottom w:val="single" w:color="1A3A5C" w:sz="6"/>
          <w:right w:val="single" w:color="1A3A5C" w:sz="6"/>
          <w:insideH w:val="single" w:color="auto" w:sz="4"/>
          <w:insideV w:val="single" w:color="auto" w:sz="4"/>
        </w:tblBorders>
      </w:tblPr>
      <w:tblGrid>
        <w:gridCol w:w="1600"/>
        <w:gridCol w:w="1200"/>
        <w:gridCol w:w="3280"/>
        <w:gridCol w:w="2800"/>
        <w:gridCol w:w="4800"/>
      </w:tblGrid>
      <w:tr>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CẢNH / PHẦN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THỜI GIAN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CHỮ NHẤN MẠNH
(CAPTION)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1A3A5C" w:color="1A3A5C"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MỞ ĐẦU</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0:00</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0:40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Nhạc hiệu nhẹ nhàng, dòng chữ: "Hội đồng Phối hợp Phổ biến Giáo dục Pháp luật tỉnh Quảng Ninh" xuất hiện giữa màn hình</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Tiếp theo là cảnh toàn cảnh khu công nghiệp nhìn từ trên cao, ống khói nhà máy, xe tải ra vào tấp nập</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Camera zoom dần vào biển hiệu: CÔNG TY TNHH SẢN XUẤT THÀNH PHÁT – Quảng Ninh</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bên trong: phòng họp sang trọng, Giám đốc HÙNG (khoảng 45 tuổi, vest đen lịch sự) đang ký kết hợp đồng với đối tác, bắt tay cười tươi</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Chữ chạy dưới màn hình: Quảng Ninh – Năm 2026</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922B21"/>
                <w:sz w:val="19"/>
                <w:szCs w:val="19"/>
              </w:rPr>
              <w:t xml:space="preserve">CÔNG TY TNHH</w:t>
            </w:r>
          </w:p>
          <w:p>
            <w:pPr>
              <w:spacing w:after="20" w:before="0"/>
              <w:jc w:val="center"/>
            </w:pPr>
            <w:r>
              <w:rPr>
                <w:rFonts w:ascii="Times New Roman" w:cs="Times New Roman" w:eastAsia="Times New Roman" w:hAnsi="Times New Roman"/>
                <w:b/>
                <w:bCs/>
                <w:i w:val="false"/>
                <w:iCs w:val="false"/>
                <w:color w:val="922B21"/>
                <w:sz w:val="19"/>
                <w:szCs w:val="19"/>
              </w:rPr>
              <w:t xml:space="preserve">THÀNH PHÁT</w:t>
            </w:r>
          </w:p>
          <w:p>
            <w:pPr>
              <w:spacing w:after="20" w:before="0"/>
              <w:jc w:val="center"/>
            </w:pPr>
            <w:r>
              <w:rPr>
                <w:rFonts w:ascii="Times New Roman" w:cs="Times New Roman" w:eastAsia="Times New Roman" w:hAnsi="Times New Roman"/>
                <w:b w:val="false"/>
                <w:bCs w:val="false"/>
                <w:i w:val="false"/>
                <w:iCs w:val="false"/>
                <w:color w:val="1A3A5C"/>
                <w:sz w:val="19"/>
                <w:szCs w:val="19"/>
              </w:rPr>
              <w:t xml:space="preserve">120 người lao động</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A3A5C"/>
                <w:sz w:val="19"/>
                <w:szCs w:val="19"/>
              </w:rPr>
              <w:t xml:space="preserve">NARRATOR (giọng trầm ấm):</w:t>
            </w:r>
            <w:r>
              <w:rPr>
                <w:rFonts w:ascii="Times New Roman" w:cs="Times New Roman" w:eastAsia="Times New Roman" w:hAnsi="Times New Roman"/>
                <w:b w:val="false"/>
                <w:bCs w:val="false"/>
                <w:i w:val="false"/>
                <w:iCs w:val="false"/>
                <w:color w:val="1A1A2E"/>
                <w:sz w:val="19"/>
                <w:szCs w:val="19"/>
              </w:rPr>
              <w:t xml:space="preserve"> "Công ty TNHH Sản xuất Thành Phát tại Quảng Ninh – một doanh nghiệp đang trên đà phát triển với 120 người lao động. Giám đốc Hùng luôn tự hào về thành tích kinh doanh của mình."</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iCs/>
                <w:color w:val="1A1A2E"/>
                <w:sz w:val="19"/>
                <w:szCs w:val="19"/>
              </w:rPr>
              <w:t xml:space="preserve"> "Thế nhưng, đằng sau vẻ hào nhoáng đó, công ty đang âm thầm mắc phải một vi phạm nghiêm trọng mà chính ông Hùng chưa nhận ra hậu quả..."</w:t>
            </w:r>
          </w:p>
        </w:tc>
      </w:tr>
      <w:tr>
        <w:tc>
          <w:tcPr>
            <w:tcW w:type="dxa" w:w="1600"/>
            <w:tcBorders>
              <w:top w:val="single" w:color="AED6F1" w:sz="3"/>
              <w:left w:val="single" w:color="AED6F1" w:sz="3"/>
              <w:bottom w:val="single" w:color="AED6F1" w:sz="3"/>
              <w:right w:val="single" w:color="AED6F1" w:sz="3"/>
            </w:tcBorders>
            <w:shd w:fill="922B21" w:color="922B21"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2</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PHÒNG KẾ TOÁN</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0:40</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1:30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phòng kế toán – nhân viên LAN (khoảng 30 tuổi, kính gọng tròn, vẻ cẩn thận) đang nhìn chằm chằm vào màn hình máy tính</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Màn hình hiển thị bảng lương: cột 'Lương thực tế' = 12.000.000 đồng/người; cột 'Lương đóng Bảo hiểm Thất nghiệp' = 4.680.000 đồng/người</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Lan cau mày, nhấc điện thoại gọi cho Giám đốc Hùng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Giám đốc Hùng nghe điện thoại trong phòng riêng, vừa nhìn báo cáo doanh thu vừa nghe</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Hùng xua tay, nói chắc nịch rồi cúp máy, tiếp tục ký giấy tờ bình thản</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A1A2E"/>
                <w:sz w:val="19"/>
                <w:szCs w:val="19"/>
              </w:rPr>
              <w:t xml:space="preserve">Lương thực tế: 12.000.000đ</w:t>
            </w:r>
          </w:p>
          <w:p>
            <w:pPr>
              <w:spacing w:after="20" w:before="0"/>
              <w:jc w:val="center"/>
            </w:pPr>
            <w:r>
              <w:rPr>
                <w:rFonts w:ascii="Times New Roman" w:cs="Times New Roman" w:eastAsia="Times New Roman" w:hAnsi="Times New Roman"/>
                <w:b/>
                <w:bCs/>
                <w:i w:val="false"/>
                <w:iCs w:val="false"/>
                <w:color w:val="922B21"/>
                <w:sz w:val="19"/>
                <w:szCs w:val="19"/>
              </w:rPr>
              <w:t xml:space="preserve">Lương khai đóng Bảo hiểm Thất nghiệp: 4.680.000đ</w:t>
            </w:r>
          </w:p>
          <w:p>
            <w:pPr>
              <w:spacing w:after="20" w:before="0"/>
              <w:jc w:val="center"/>
            </w:pPr>
            <w:r>
              <w:rPr>
                <w:rFonts w:ascii="Times New Roman" w:cs="Times New Roman" w:eastAsia="Times New Roman" w:hAnsi="Times New Roman"/>
                <w:b/>
                <w:bCs/>
                <w:i w:val="false"/>
                <w:iCs w:val="false"/>
                <w:color w:val="922B21"/>
                <w:sz w:val="19"/>
                <w:szCs w:val="19"/>
              </w:rPr>
              <w:t xml:space="preserve">→ Thấp hơn quy định!</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E6B3A"/>
                <w:sz w:val="19"/>
                <w:szCs w:val="19"/>
              </w:rPr>
              <w:t xml:space="preserve">LAN (lo lắng, nói qua điện thoại):</w:t>
            </w:r>
            <w:r>
              <w:rPr>
                <w:rFonts w:ascii="Times New Roman" w:cs="Times New Roman" w:eastAsia="Times New Roman" w:hAnsi="Times New Roman"/>
                <w:b w:val="false"/>
                <w:bCs w:val="false"/>
                <w:i/>
                <w:iCs/>
                <w:color w:val="1A1A2E"/>
                <w:sz w:val="19"/>
                <w:szCs w:val="19"/>
              </w:rPr>
              <w:t xml:space="preserve"> "Anh Hùng ơi, em thấy mình đang khai mức lương đóng bảo hiểm thất nghiệp thấp hơn lương thực trả cho anh em. Như vậy có vi phạm không anh?"</w:t>
            </w:r>
          </w:p>
          <w:p>
            <w:pPr>
              <w:spacing w:after="50" w:before="16"/>
              <w:jc w:val="left"/>
            </w:pPr>
            <w:r>
              <w:rPr>
                <w:rFonts w:ascii="Times New Roman" w:cs="Times New Roman" w:eastAsia="Times New Roman" w:hAnsi="Times New Roman"/>
                <w:b/>
                <w:bCs/>
                <w:i w:val="false"/>
                <w:iCs w:val="false"/>
                <w:color w:val="922B21"/>
                <w:sz w:val="19"/>
                <w:szCs w:val="19"/>
              </w:rPr>
              <w:t xml:space="preserve">HÙNG (thờ ơ, giọng chắc nịch):</w:t>
            </w:r>
            <w:r>
              <w:rPr>
                <w:rFonts w:ascii="Times New Roman" w:cs="Times New Roman" w:eastAsia="Times New Roman" w:hAnsi="Times New Roman"/>
                <w:b w:val="false"/>
                <w:bCs w:val="false"/>
                <w:i/>
                <w:iCs/>
                <w:color w:val="1A1A2E"/>
                <w:sz w:val="19"/>
                <w:szCs w:val="19"/>
              </w:rPr>
              <w:t xml:space="preserve"> "Ối dào, công ty nào chả vậy! Khai cao làm gì cho tốn tiền. Cứ khai mức tối thiểu cho nó tiết kiệm. Ai mà biết được chứ!"</w:t>
            </w:r>
          </w:p>
          <w:p>
            <w:pPr>
              <w:spacing w:after="50" w:before="16"/>
              <w:jc w:val="left"/>
            </w:pPr>
            <w:r>
              <w:rPr>
                <w:rFonts w:ascii="Times New Roman" w:cs="Times New Roman" w:eastAsia="Times New Roman" w:hAnsi="Times New Roman"/>
                <w:b/>
                <w:bCs/>
                <w:i w:val="false"/>
                <w:iCs w:val="false"/>
                <w:color w:val="1E6B3A"/>
                <w:sz w:val="19"/>
                <w:szCs w:val="19"/>
              </w:rPr>
              <w:t xml:space="preserve">LAN (lưỡng lự, nhìn màn hình):</w:t>
            </w:r>
            <w:r>
              <w:rPr>
                <w:rFonts w:ascii="Times New Roman" w:cs="Times New Roman" w:eastAsia="Times New Roman" w:hAnsi="Times New Roman"/>
                <w:b w:val="false"/>
                <w:bCs w:val="false"/>
                <w:i/>
                <w:iCs/>
                <w:color w:val="1A1A2E"/>
                <w:sz w:val="19"/>
                <w:szCs w:val="19"/>
              </w:rPr>
              <w:t xml:space="preserve"> "Nhưng thưa anh, em lo là..."</w:t>
            </w:r>
          </w:p>
          <w:p>
            <w:pPr>
              <w:spacing w:after="50" w:before="16"/>
              <w:jc w:val="left"/>
            </w:pPr>
            <w:r>
              <w:rPr>
                <w:rFonts w:ascii="Times New Roman" w:cs="Times New Roman" w:eastAsia="Times New Roman" w:hAnsi="Times New Roman"/>
                <w:b/>
                <w:bCs/>
                <w:i w:val="false"/>
                <w:iCs w:val="false"/>
                <w:color w:val="922B21"/>
                <w:sz w:val="19"/>
                <w:szCs w:val="19"/>
              </w:rPr>
              <w:t xml:space="preserve">HÙNG (ngắt lời):</w:t>
            </w:r>
            <w:r>
              <w:rPr>
                <w:rFonts w:ascii="Times New Roman" w:cs="Times New Roman" w:eastAsia="Times New Roman" w:hAnsi="Times New Roman"/>
                <w:b w:val="false"/>
                <w:bCs w:val="false"/>
                <w:i/>
                <w:iCs/>
                <w:color w:val="1A1A2E"/>
                <w:sz w:val="19"/>
                <w:szCs w:val="19"/>
              </w:rPr>
              <w:t xml:space="preserve"> "Không có gì phải lo. Làm theo tôi nói là được!"</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13680"/>
      </w:tblGrid>
      <w:tr>
        <w:tc>
          <w:tcPr>
            <w:tcW w:type="pct" w:w="100%"/>
            <w:tcBorders>
              <w:top w:val="single" w:color="5E2750" w:sz="6"/>
              <w:left w:val="single" w:color="5E2750" w:sz="6"/>
              <w:bottom w:val="single" w:color="5E2750" w:sz="6"/>
              <w:right w:val="single" w:color="5E2750" w:sz="6"/>
            </w:tcBorders>
            <w:shd w:fill="5E2750" w:color="5E2750" w:val="clear"/>
            <w:tcMar>
              <w:top w:type="dxa" w:w="75"/>
              <w:left w:type="dxa" w:w="160"/>
              <w:bottom w:type="dxa" w:w="75"/>
              <w:right w:type="dxa" w:w="14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II – BỊ PHÁT HIỆN VÀ XỬ PHẠT</w:t>
            </w:r>
            <w:r>
              <w:rPr>
                <w:rFonts w:ascii="Times New Roman" w:cs="Times New Roman" w:eastAsia="Times New Roman" w:hAnsi="Times New Roman"/>
                <w:b w:val="false"/>
                <w:bCs w:val="false"/>
                <w:i w:val="false"/>
                <w:iCs w:val="false"/>
                <w:color w:val="D6EAF8"/>
                <w:sz w:val="18"/>
                <w:szCs w:val="18"/>
              </w:rPr>
              <w:t xml:space="preserve">   (Cảnh 4 → Cảnh 5)  |  2:10 – 4:15</w:t>
            </w:r>
          </w:p>
        </w:tc>
      </w:tr>
    </w:tbl>
    <w:p>
      <w:pPr>
        <w:spacing w:after="60" w:before="0"/>
      </w:pPr>
    </w:p>
    <w:tbl>
      <w:tblPr>
        <w:tblW w:type="dxa" w:w="13680"/>
        <w:tblBorders>
          <w:top w:val="single" w:color="1A3A5C" w:sz="6"/>
          <w:left w:val="single" w:color="1A3A5C" w:sz="6"/>
          <w:bottom w:val="single" w:color="1A3A5C" w:sz="6"/>
          <w:right w:val="single" w:color="1A3A5C" w:sz="6"/>
          <w:insideH w:val="single" w:color="auto" w:sz="4"/>
          <w:insideV w:val="single" w:color="auto" w:sz="4"/>
        </w:tblBorders>
      </w:tblPr>
      <w:tblGrid>
        <w:gridCol w:w="1600"/>
        <w:gridCol w:w="1200"/>
        <w:gridCol w:w="3280"/>
        <w:gridCol w:w="2800"/>
        <w:gridCol w:w="4800"/>
      </w:tblGrid>
      <w:tr>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CẢNH / PHẦN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THỜI GIAN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CHỮ NHẤN MẠNH
(CAPTION)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935116" w:color="935116"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3</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VI PHẠM THỨ HAI</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1:30</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2:10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cổng công ty – xe tải chở hàng ra vào, một nhóm 30 công nhân mới mặc đồng phục đang làm thủ tục nhận việc</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phòng nhân sự – nhân viên nhân sự đang photo hồ sơ của 30 người mới tuyển</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Lịch tường hiển thị: tháng đầu tiên trôi qua... rồi tháng thứ hai... đã qua 60 ngày</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Màn hình máy tính nhân sự: danh sách 30 người lao động mới, cột 'Đăng ký Bảo hiểm Thất nghiệp' vẫn để trống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Giám đốc Hùng đứng tay chống nạnh nhìn xưởng sản xuất, vẻ tự mãn</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A1A2E"/>
                <w:sz w:val="19"/>
                <w:szCs w:val="19"/>
              </w:rPr>
              <w:t xml:space="preserve">30 NGƯỜI LAO ĐỘNG MỚI</w:t>
            </w:r>
          </w:p>
          <w:p>
            <w:pPr>
              <w:spacing w:after="20" w:before="0"/>
              <w:jc w:val="center"/>
            </w:pPr>
            <w:r>
              <w:rPr>
                <w:rFonts w:ascii="Times New Roman" w:cs="Times New Roman" w:eastAsia="Times New Roman" w:hAnsi="Times New Roman"/>
                <w:b/>
                <w:bCs/>
                <w:i w:val="false"/>
                <w:iCs w:val="false"/>
                <w:color w:val="922B21"/>
                <w:sz w:val="19"/>
                <w:szCs w:val="19"/>
              </w:rPr>
              <w:t xml:space="preserve">Đã quá 60 ngày</w:t>
            </w:r>
          </w:p>
          <w:p>
            <w:pPr>
              <w:spacing w:after="20" w:before="0"/>
              <w:jc w:val="center"/>
            </w:pPr>
            <w:r>
              <w:rPr>
                <w:rFonts w:ascii="Times New Roman" w:cs="Times New Roman" w:eastAsia="Times New Roman" w:hAnsi="Times New Roman"/>
                <w:b/>
                <w:bCs/>
                <w:i w:val="false"/>
                <w:iCs w:val="false"/>
                <w:color w:val="922B21"/>
                <w:sz w:val="19"/>
                <w:szCs w:val="19"/>
              </w:rPr>
              <w:t xml:space="preserve">CHƯA ĐĂNG KÝ BẢO HIỂM THẤT NGHIỆP!</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val="false"/>
                <w:iCs w:val="false"/>
                <w:color w:val="1A1A2E"/>
                <w:sz w:val="19"/>
                <w:szCs w:val="19"/>
              </w:rPr>
              <w:t xml:space="preserve"> "Cùng thời điểm đó, công ty Thành Phát vừa tuyển thêm 30 công nhân mới cho dây chuyền sản xuất mới. Theo quy định, doanh nghiệp phải đăng ký tham gia bảo hiểm thất nghiệp cho người lao động trong vòng 30 ngày kể từ ngày ký hợp đồng."</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iCs/>
                <w:color w:val="1A1A2E"/>
                <w:sz w:val="19"/>
                <w:szCs w:val="19"/>
              </w:rPr>
              <w:t xml:space="preserve"> "Thế nhưng ngày qua ngày, rồi tháng qua tháng – đã hơn 60 ngày trôi qua – 30 người lao động mới vẫn chưa được đăng ký một lần nào. Giám đốc Hùng không hề để ý, hoặc cố tình bỏ qua."</w:t>
            </w:r>
          </w:p>
        </w:tc>
      </w:tr>
      <w:tr>
        <w:tc>
          <w:tcPr>
            <w:tcW w:type="dxa" w:w="1600"/>
            <w:tcBorders>
              <w:top w:val="single" w:color="AED6F1" w:sz="3"/>
              <w:left w:val="single" w:color="AED6F1" w:sz="3"/>
              <w:bottom w:val="single" w:color="AED6F1" w:sz="3"/>
              <w:right w:val="single" w:color="AED6F1" w:sz="3"/>
            </w:tcBorders>
            <w:shd w:fill="5E2750" w:color="5E2750"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4</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THANH TRA ĐẾN</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2:10</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3:10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sáng sớm – một chiếc xe công vụ đỗ trước cổng Công ty Thành Phát</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Ba người bước ra: hai nam, một nữ, mặc đồng phục Thanh tra Bảo hiểm Xã hội, tay cầm cặp hồ sơ</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lễ tân hốt hoảng gọi điện báo cho Giám đốc Hùng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Hùng bước ra đón tiếp, tươi cười bắt tay nhưng thoáng chút lo lắng trong mắt</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phòng họp: Thanh tra viên BÌNH (khoảng 40 tuổi, giọng điềm tĩnh nhưng dứt khoát) lật từng trang hồ sơ, đặt cạnh bảng lương công ty</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Máy tính xách tay của đoàn thanh tra chiếu lên màn hình lớn: bảng so sánh lương thực tế và mức đóng Bảo hiểm Thất nghiệp</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Bình dùng bút chỉ vào con số chênh lệch, nhìn thẳng vào Hùng</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A3A5C"/>
                <w:sz w:val="19"/>
                <w:szCs w:val="19"/>
              </w:rPr>
              <w:t xml:space="preserve">ĐOÀN THANH TRA BẢO HIỂM XÃ HỘI</w:t>
            </w:r>
          </w:p>
          <w:p>
            <w:pPr>
              <w:spacing w:after="20" w:before="0"/>
              <w:jc w:val="center"/>
            </w:pPr>
            <w:r>
              <w:rPr>
                <w:rFonts w:ascii="Times New Roman" w:cs="Times New Roman" w:eastAsia="Times New Roman" w:hAnsi="Times New Roman"/>
                <w:b w:val="false"/>
                <w:bCs w:val="false"/>
                <w:i w:val="false"/>
                <w:iCs w:val="false"/>
                <w:color w:val="1A1A2E"/>
                <w:sz w:val="19"/>
                <w:szCs w:val="19"/>
              </w:rPr>
              <w:t xml:space="preserve">Kiểm tra đột xuất</w:t>
            </w:r>
          </w:p>
          <w:p>
            <w:pPr>
              <w:spacing w:after="20" w:before="0"/>
              <w:jc w:val="center"/>
            </w:pPr>
            <w:r>
              <w:rPr>
                <w:rFonts w:ascii="Times New Roman" w:cs="Times New Roman" w:eastAsia="Times New Roman" w:hAnsi="Times New Roman"/>
                <w:b/>
                <w:bCs/>
                <w:i w:val="false"/>
                <w:iCs w:val="false"/>
                <w:color w:val="922B21"/>
                <w:sz w:val="19"/>
                <w:szCs w:val="19"/>
              </w:rPr>
              <w:t xml:space="preserve">Phát hiện 2 sai phạm!</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A3A5C"/>
                <w:sz w:val="19"/>
                <w:szCs w:val="19"/>
              </w:rPr>
              <w:t xml:space="preserve">BÌNH – THANH TRA VIÊN (điềm tĩnh):</w:t>
            </w:r>
            <w:r>
              <w:rPr>
                <w:rFonts w:ascii="Times New Roman" w:cs="Times New Roman" w:eastAsia="Times New Roman" w:hAnsi="Times New Roman"/>
                <w:b w:val="false"/>
                <w:bCs w:val="false"/>
                <w:i/>
                <w:iCs/>
                <w:color w:val="1A1A2E"/>
                <w:sz w:val="19"/>
                <w:szCs w:val="19"/>
              </w:rPr>
              <w:t xml:space="preserve"> "Thưa ông Hùng, qua kiểm tra hồ sơ và đối chiếu với thực tế, chúng tôi ghi nhận công ty có hai hành vi vi phạm."</w:t>
            </w:r>
          </w:p>
          <w:p>
            <w:pPr>
              <w:spacing w:after="50" w:before="16"/>
              <w:jc w:val="left"/>
            </w:pPr>
            <w:r>
              <w:rPr>
                <w:rFonts w:ascii="Times New Roman" w:cs="Times New Roman" w:eastAsia="Times New Roman" w:hAnsi="Times New Roman"/>
                <w:b/>
                <w:bCs/>
                <w:i w:val="false"/>
                <w:iCs w:val="false"/>
                <w:color w:val="922B21"/>
                <w:sz w:val="19"/>
                <w:szCs w:val="19"/>
              </w:rPr>
              <w:t xml:space="preserve">HÙNG (giọng run nhẹ):</w:t>
            </w:r>
            <w:r>
              <w:rPr>
                <w:rFonts w:ascii="Times New Roman" w:cs="Times New Roman" w:eastAsia="Times New Roman" w:hAnsi="Times New Roman"/>
                <w:b w:val="false"/>
                <w:bCs w:val="false"/>
                <w:i/>
                <w:iCs/>
                <w:color w:val="1A1A2E"/>
                <w:sz w:val="19"/>
                <w:szCs w:val="19"/>
              </w:rPr>
              <w:t xml:space="preserve"> "Dạ... vi phạm gì vậy anh?"</w:t>
            </w:r>
          </w:p>
          <w:p>
            <w:pPr>
              <w:spacing w:after="50" w:before="16"/>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"Thứ nhất, công ty đăng ký mức lương đóng bảo hiểm thất nghiệp thấp hơn mức lương thực tế chi trả cho người lao động. Đây là hành vi trốn đóng bảo hiểm thất nghiệp theo quy định tại khoản 2 Điều 46, Nghị định 283 năm 2026."</w:t>
            </w:r>
          </w:p>
          <w:p>
            <w:pPr>
              <w:spacing w:after="50" w:before="16"/>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"Thứ hai, công ty có 30 lao động mới đã qua 60 ngày kể từ ngày ký hợp đồng nhưng chưa được đăng ký tham gia bảo hiểm thất nghiệp. Đây là vi phạm khoản 1 Điều 46 cùng Nghị định này."</w:t>
            </w:r>
          </w:p>
          <w:p>
            <w:pPr>
              <w:spacing w:after="50" w:before="16"/>
              <w:jc w:val="left"/>
            </w:pPr>
            <w:r>
              <w:rPr>
                <w:rFonts w:ascii="Times New Roman" w:cs="Times New Roman" w:eastAsia="Times New Roman" w:hAnsi="Times New Roman"/>
                <w:b/>
                <w:bCs/>
                <w:i w:val="false"/>
                <w:iCs w:val="false"/>
                <w:color w:val="922B21"/>
                <w:sz w:val="19"/>
                <w:szCs w:val="19"/>
              </w:rPr>
              <w:t xml:space="preserve">HÙNG (tái mặt, giọng nhỏ dần):</w:t>
            </w:r>
            <w:r>
              <w:rPr>
                <w:rFonts w:ascii="Times New Roman" w:cs="Times New Roman" w:eastAsia="Times New Roman" w:hAnsi="Times New Roman"/>
                <w:b w:val="false"/>
                <w:bCs w:val="false"/>
                <w:i/>
                <w:iCs/>
                <w:color w:val="1A1A2E"/>
                <w:sz w:val="19"/>
                <w:szCs w:val="19"/>
              </w:rPr>
              <w:t xml:space="preserve"> "Vậy... mức phạt là bao nhiêu thưa anh?"</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13680"/>
      </w:tblGrid>
      <w:tr>
        <w:tc>
          <w:tcPr>
            <w:tcW w:type="pct" w:w="100%"/>
            <w:tcBorders>
              <w:top w:val="single" w:color="1E6B3A" w:sz="6"/>
              <w:left w:val="single" w:color="1E6B3A" w:sz="6"/>
              <w:bottom w:val="single" w:color="1E6B3A" w:sz="6"/>
              <w:right w:val="single" w:color="1E6B3A" w:sz="6"/>
            </w:tcBorders>
            <w:shd w:fill="1E6B3A" w:color="1E6B3A" w:val="clear"/>
            <w:tcMar>
              <w:top w:type="dxa" w:w="75"/>
              <w:left w:type="dxa" w:w="160"/>
              <w:bottom w:type="dxa" w:w="75"/>
              <w:right w:type="dxa" w:w="14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III – QUY ĐỊNH PHÁP LUẬT VÀ BÀI HỌC</w:t>
            </w:r>
            <w:r>
              <w:rPr>
                <w:rFonts w:ascii="Times New Roman" w:cs="Times New Roman" w:eastAsia="Times New Roman" w:hAnsi="Times New Roman"/>
                <w:b w:val="false"/>
                <w:bCs w:val="false"/>
                <w:i w:val="false"/>
                <w:iCs w:val="false"/>
                <w:color w:val="D6EAF8"/>
                <w:sz w:val="18"/>
                <w:szCs w:val="18"/>
              </w:rPr>
              <w:t xml:space="preserve">   (Cảnh 6 → Cảnh 7)  |  4:15 – 5:30</w:t>
            </w:r>
          </w:p>
        </w:tc>
      </w:tr>
    </w:tbl>
    <w:p>
      <w:pPr>
        <w:spacing w:after="60" w:before="0"/>
      </w:pPr>
    </w:p>
    <w:tbl>
      <w:tblPr>
        <w:tblW w:type="dxa" w:w="13680"/>
        <w:tblBorders>
          <w:top w:val="single" w:color="1A3A5C" w:sz="6"/>
          <w:left w:val="single" w:color="1A3A5C" w:sz="6"/>
          <w:bottom w:val="single" w:color="1A3A5C" w:sz="6"/>
          <w:right w:val="single" w:color="1A3A5C" w:sz="6"/>
          <w:insideH w:val="single" w:color="auto" w:sz="4"/>
          <w:insideV w:val="single" w:color="auto" w:sz="4"/>
        </w:tblBorders>
      </w:tblPr>
      <w:tblGrid>
        <w:gridCol w:w="1600"/>
        <w:gridCol w:w="1200"/>
        <w:gridCol w:w="3280"/>
        <w:gridCol w:w="2800"/>
        <w:gridCol w:w="4800"/>
      </w:tblGrid>
      <w:tr>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CẢNH / PHẦN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THỜI GIAN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CHỮ NHẤN MẠNH
(CAPTION)</w:t>
            </w:r>
          </w:p>
        </w:tc>
        <w:tc>
          <w:tcPr>
            <w:tcBorders>
              <w:top w:val="single" w:color="1A3A5C" w:sz="6"/>
              <w:left w:val="single" w:color="1A3A5C" w:sz="6"/>
              <w:bottom w:val="single" w:color="1A3A5C" w:sz="6"/>
              <w:right w:val="single" w:color="1A3A5C" w:sz="6"/>
            </w:tcBorders>
            <w:shd w:fill="1A3A5C" w:color="1A3A5C" w:val="clear"/>
            <w:tcMar>
              <w:top w:type="dxa" w:w="80"/>
              <w:left w:type="dxa" w:w="80"/>
              <w:bottom w:type="dxa" w:w="80"/>
              <w:right w:type="dxa" w:w="80"/>
            </w:tcMar>
            <w:vAlign w:val="center"/>
          </w:tcPr>
          <w:p>
            <w:pPr>
              <w:spacing w:after="5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922B21" w:color="922B21"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5</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CÔNG BỐ MỨC PHẠT</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3:10</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4:15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Thanh tra viên Bình mở máy tính, chiếu bảng mức phạt lên màn hình lớn</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Màn hình chia đôi: bên trái là Vi phạm 1 với bảng theo số lao động, bên phải là Vi phạm 2 với phép tính phần trăm</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Vi phạm 1 sáng lên ở mức 30 người lao động: từ 10 triệu đến 15 triệu đồng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Vi phạm 2: tổng tiền khai thiếu trong 12 tháng hiện lên con số 180 triệu đồng, nhân với 18% = 32,4 triệu đồng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Chữ đỏ nhấp nháy: Tổ chức vi phạm – Phạt gấp 2 lần cá nhân</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Con số tổng cộng đếm nhanh: lên đến 85 đến 102 triệu đồng</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Hùng ngồi sụp xuống ghế, hai tay ôm mặt</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A1A2E"/>
                <w:sz w:val="19"/>
                <w:szCs w:val="19"/>
              </w:rPr>
              <w:t xml:space="preserve">VI PHẠM 1: 30 người chưa đăng ký</w:t>
            </w:r>
          </w:p>
          <w:p>
            <w:pPr>
              <w:spacing w:after="20" w:before="0"/>
              <w:jc w:val="center"/>
            </w:pPr>
            <w:r>
              <w:rPr>
                <w:rFonts w:ascii="Times New Roman" w:cs="Times New Roman" w:eastAsia="Times New Roman" w:hAnsi="Times New Roman"/>
                <w:b/>
                <w:bCs/>
                <w:i w:val="false"/>
                <w:iCs w:val="false"/>
                <w:color w:val="922B21"/>
                <w:sz w:val="19"/>
                <w:szCs w:val="19"/>
              </w:rPr>
              <w:t xml:space="preserve">→ Phạt 10 – 15 triệu đồng</w:t>
            </w:r>
          </w:p>
          <w:p>
            <w:pPr>
              <w:spacing w:after="20" w:before="0"/>
              <w:jc w:val="center"/>
            </w:pPr>
            <w:r>
              <w:rPr>
                <w:rFonts w:ascii="Times New Roman" w:cs="Times New Roman" w:eastAsia="Times New Roman" w:hAnsi="Times New Roman"/>
                <w:b/>
                <w:bCs/>
                <w:i w:val="false"/>
                <w:iCs w:val="false"/>
                <w:color w:val="1A1A2E"/>
                <w:sz w:val="19"/>
                <w:szCs w:val="19"/>
              </w:rPr>
              <w:t xml:space="preserve">VI PHẠM 2: Khai lương thấp hơn thực tế</w:t>
            </w:r>
          </w:p>
          <w:p>
            <w:pPr>
              <w:spacing w:after="20" w:before="0"/>
              <w:jc w:val="center"/>
            </w:pPr>
            <w:r>
              <w:rPr>
                <w:rFonts w:ascii="Times New Roman" w:cs="Times New Roman" w:eastAsia="Times New Roman" w:hAnsi="Times New Roman"/>
                <w:b/>
                <w:bCs/>
                <w:i w:val="false"/>
                <w:iCs w:val="false"/>
                <w:color w:val="922B21"/>
                <w:sz w:val="19"/>
                <w:szCs w:val="19"/>
              </w:rPr>
              <w:t xml:space="preserve">→ Phạt 18% – 20% = 32 – 36 triệu đồng</w:t>
            </w:r>
          </w:p>
          <w:p>
            <w:pPr>
              <w:spacing w:after="20" w:before="0"/>
              <w:jc w:val="center"/>
            </w:pPr>
            <w:r>
              <w:rPr>
                <w:rFonts w:ascii="Times New Roman" w:cs="Times New Roman" w:eastAsia="Times New Roman" w:hAnsi="Times New Roman"/>
                <w:b/>
                <w:bCs/>
                <w:i w:val="false"/>
                <w:iCs w:val="false"/>
                <w:color w:val="922B21"/>
                <w:sz w:val="19"/>
                <w:szCs w:val="19"/>
              </w:rPr>
              <w:t xml:space="preserve">Tổ chức: gấp đôi cá nhân!</w:t>
            </w:r>
          </w:p>
          <w:p>
            <w:pPr>
              <w:spacing w:after="20" w:before="0"/>
              <w:jc w:val="center"/>
            </w:pPr>
            <w:r>
              <w:rPr>
                <w:rFonts w:ascii="Times New Roman" w:cs="Times New Roman" w:eastAsia="Times New Roman" w:hAnsi="Times New Roman"/>
                <w:b/>
                <w:bCs/>
                <w:i w:val="false"/>
                <w:iCs w:val="false"/>
                <w:color w:val="922B21"/>
                <w:sz w:val="19"/>
                <w:szCs w:val="19"/>
              </w:rPr>
              <w:t xml:space="preserve">TỔNG CỘNG: 85 – 102 triệu đồng</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"Theo Điều 46 Nghị định 283 năm 2026, đối với vi phạm thứ nhất là không đăng ký 30 người lao động mới, mức phạt đối với cá nhân là từ 10 triệu đến 15 triệu đồng."</w:t>
            </w:r>
          </w:p>
          <w:p>
            <w:pPr>
              <w:spacing w:after="50" w:before="16"/>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"Đối với vi phạm thứ hai là khai lương đóng bảo hiểm thất nghiệp thấp hơn thực tế, tổng số tiền công ty đã trốn đóng trong 12 tháng là 180 triệu đồng. Mức phạt là từ 18 đến 20 phần trăm số tiền trốn đóng, tức là từ 32 đến 36 triệu đồng."</w:t>
            </w:r>
          </w:p>
          <w:p>
            <w:pPr>
              <w:spacing w:after="50" w:before="16"/>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"Lưu ý quan trọng: đây là mức phạt áp dụng cho cá nhân. Theo khoản 1 Điều 7 của Nghị định này, tổ chức vi phạm bị phạt gấp đôi mức đó. Tổng cộng, công ty phải nộp phạt từ 85 đến 102 triệu đồng."</w:t>
            </w:r>
          </w:p>
          <w:p>
            <w:pPr>
              <w:spacing w:after="50" w:before="16"/>
              <w:jc w:val="left"/>
            </w:pPr>
            <w:r>
              <w:rPr>
                <w:rFonts w:ascii="Times New Roman" w:cs="Times New Roman" w:eastAsia="Times New Roman" w:hAnsi="Times New Roman"/>
                <w:b/>
                <w:bCs/>
                <w:i w:val="false"/>
                <w:iCs w:val="false"/>
                <w:color w:val="1A3A5C"/>
                <w:sz w:val="19"/>
                <w:szCs w:val="19"/>
              </w:rPr>
              <w:t xml:space="preserve">BÌNH:</w:t>
            </w:r>
            <w:r>
              <w:rPr>
                <w:rFonts w:ascii="Times New Roman" w:cs="Times New Roman" w:eastAsia="Times New Roman" w:hAnsi="Times New Roman"/>
                <w:b w:val="false"/>
                <w:bCs w:val="false"/>
                <w:i/>
                <w:iCs/>
                <w:color w:val="1A1A2E"/>
                <w:sz w:val="19"/>
                <w:szCs w:val="19"/>
              </w:rPr>
              <w:t xml:space="preserve"> "Ngoài ra, công ty còn phải đóng bù toàn bộ số tiền bảo hiểm thất nghiệp đã trốn và nộp thêm tiền phạt chậm đóng bằng 0,03 phần trăm mỗi ngày tính trên tổng số tiền trốn đóng và số ngày chậm."</w:t>
            </w:r>
          </w:p>
          <w:p>
            <w:pPr>
              <w:spacing w:after="50" w:before="16"/>
              <w:jc w:val="left"/>
            </w:pPr>
            <w:r>
              <w:rPr>
                <w:rFonts w:ascii="Times New Roman" w:cs="Times New Roman" w:eastAsia="Times New Roman" w:hAnsi="Times New Roman"/>
                <w:b/>
                <w:bCs/>
                <w:i w:val="false"/>
                <w:iCs w:val="false"/>
                <w:color w:val="922B21"/>
                <w:sz w:val="19"/>
                <w:szCs w:val="19"/>
              </w:rPr>
              <w:t xml:space="preserve">HÙNG (bàng hoàng):</w:t>
            </w:r>
            <w:r>
              <w:rPr>
                <w:rFonts w:ascii="Times New Roman" w:cs="Times New Roman" w:eastAsia="Times New Roman" w:hAnsi="Times New Roman"/>
                <w:b w:val="false"/>
                <w:bCs w:val="false"/>
                <w:i/>
                <w:iCs/>
                <w:color w:val="1A1A2E"/>
                <w:sz w:val="19"/>
                <w:szCs w:val="19"/>
              </w:rPr>
              <w:t xml:space="preserve"> "Trời ơi... chỉ vì tiết kiệm chút chi phí mà giờ thiệt hại nặng như thế này..."</w:t>
            </w:r>
          </w:p>
        </w:tc>
      </w:tr>
      <w:tr>
        <w:tc>
          <w:tcPr>
            <w:tcW w:type="dxa" w:w="1600"/>
            <w:tcBorders>
              <w:top w:val="single" w:color="AED6F1" w:sz="3"/>
              <w:left w:val="single" w:color="AED6F1" w:sz="3"/>
              <w:bottom w:val="single" w:color="AED6F1" w:sz="3"/>
              <w:right w:val="single" w:color="AED6F1" w:sz="3"/>
            </w:tcBorders>
            <w:shd w:fill="2471A3" w:color="2471A3"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6</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QUY ĐỊNH PHÁP LUẬT</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4:15</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4:55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Chuyển cảnh: nền trắng sạch, phong cách đồ họa chuyển động – motion graphic</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Văn bản 'Điều 46 – Nghị định 283/2026/NĐ-CP' xuất hiện to, rõ ràng ở giữa màn hình</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Ba khung màu xanh lần lượt trượt vào từ hai bên, mỗi khung là một trường hợp vi phạm</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Bảng thang phạt theo số người lao động xuất hiện với 8 mức, từ dưới 10 người đến từ 1.000 người trở lên</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Biểu tượng nhân 2 nổi bật ở góc phải: 'Tổ chức vi phạm = phạt × 2'</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Hiệu ứng đếm số: mức phạt tối đa doanh nghiệp có thể lên đến 150.000.000 đồng</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A3A5C"/>
                <w:sz w:val="19"/>
                <w:szCs w:val="19"/>
              </w:rPr>
              <w:t xml:space="preserve">Điều 46 – Nghị định 283/2026</w:t>
            </w:r>
          </w:p>
          <w:p>
            <w:pPr>
              <w:spacing w:after="20" w:before="0"/>
              <w:jc w:val="center"/>
            </w:pPr>
            <w:r>
              <w:rPr>
                <w:rFonts w:ascii="Times New Roman" w:cs="Times New Roman" w:eastAsia="Times New Roman" w:hAnsi="Times New Roman"/>
                <w:b/>
                <w:bCs/>
                <w:i w:val="false"/>
                <w:iCs w:val="false"/>
                <w:color w:val="922B21"/>
                <w:sz w:val="19"/>
                <w:szCs w:val="19"/>
              </w:rPr>
              <w:t xml:space="preserve">3 TRƯỜNG HỢP BỊ XỬ PHẠT</w:t>
            </w:r>
          </w:p>
          <w:p>
            <w:pPr>
              <w:spacing w:after="20" w:before="0"/>
              <w:jc w:val="center"/>
            </w:pPr>
            <w:r>
              <w:rPr>
                <w:rFonts w:ascii="Times New Roman" w:cs="Times New Roman" w:eastAsia="Times New Roman" w:hAnsi="Times New Roman"/>
                <w:b/>
                <w:bCs/>
                <w:i w:val="false"/>
                <w:iCs w:val="false"/>
                <w:color w:val="922B21"/>
                <w:sz w:val="19"/>
                <w:szCs w:val="19"/>
              </w:rPr>
              <w:t xml:space="preserve">Phạt tối đa đến 150 triệu đồng</w:t>
            </w:r>
          </w:p>
          <w:p>
            <w:pPr>
              <w:spacing w:after="20" w:before="0"/>
              <w:jc w:val="center"/>
            </w:pPr>
            <w:r>
              <w:rPr>
                <w:rFonts w:ascii="Times New Roman" w:cs="Times New Roman" w:eastAsia="Times New Roman" w:hAnsi="Times New Roman"/>
                <w:b/>
                <w:bCs/>
                <w:i w:val="false"/>
                <w:iCs w:val="false"/>
                <w:color w:val="1E6B3A"/>
                <w:sz w:val="19"/>
                <w:szCs w:val="19"/>
              </w:rPr>
              <w:t xml:space="preserve">Tổ chức vi phạm = phạt × 2 lần</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val="false"/>
                <w:iCs w:val="false"/>
                <w:color w:val="1A1A2E"/>
                <w:sz w:val="19"/>
                <w:szCs w:val="19"/>
              </w:rPr>
              <w:t xml:space="preserve"> "Điều 46 Nghị định 283 năm 2026 quy định ba trường hợp bị xử phạt về trốn đóng bảo hiểm thất nghiệp:"</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val="false"/>
                <w:iCs w:val="false"/>
                <w:color w:val="1A1A2E"/>
                <w:sz w:val="19"/>
                <w:szCs w:val="19"/>
              </w:rPr>
              <w:t xml:space="preserve"> "Trường hợp một – Không đăng ký hoặc đăng ký không đầy đủ số người phải tham gia bảo hiểm thất nghiệp sau thời hạn 60 ngày: mức phạt từ 1 triệu đến 40 triệu đồng tùy số lượng người lao động vi phạm."</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val="false"/>
                <w:iCs w:val="false"/>
                <w:color w:val="1A1A2E"/>
                <w:sz w:val="19"/>
                <w:szCs w:val="19"/>
              </w:rPr>
              <w:t xml:space="preserve"> "Trường hợp hai – Đăng ký mức lương đóng bảo hiểm thất nghiệp thấp hơn quy định, hoặc không đóng đủ sau khi đã được cơ quan chức năng đôn đốc: mức phạt từ 18 đến 20 phần trăm tổng số tiền trốn đóng, tối đa 75 triệu đồng."</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bCs/>
                <w:i w:val="false"/>
                <w:iCs w:val="false"/>
                <w:color w:val="1A1A2E"/>
                <w:sz w:val="19"/>
                <w:szCs w:val="19"/>
              </w:rPr>
              <w:t xml:space="preserve"> "Đặc biệt, đối với tổ chức doanh nghiệp, mức phạt bằng gấp đôi cá nhân. Tổng mức phạt có thể lên đến 150 triệu đồng."</w:t>
            </w:r>
          </w:p>
        </w:tc>
      </w:tr>
      <w:tr>
        <w:tc>
          <w:tcPr>
            <w:tcW w:type="dxa" w:w="1600"/>
            <w:tcBorders>
              <w:top w:val="single" w:color="AED6F1" w:sz="3"/>
              <w:left w:val="single" w:color="AED6F1" w:sz="3"/>
              <w:bottom w:val="single" w:color="AED6F1" w:sz="3"/>
              <w:right w:val="single" w:color="AED6F1" w:sz="3"/>
            </w:tcBorders>
            <w:shd w:fill="1E6B3A" w:color="1E6B3A" w:val="clear"/>
            <w:tcMar>
              <w:top w:type="dxa" w:w="80"/>
              <w:left w:type="dxa" w:w="70"/>
              <w:bottom w:type="dxa" w:w="80"/>
              <w:right w:type="dxa" w:w="70"/>
            </w:tcMar>
            <w:vAlign w:val="top"/>
          </w:tcPr>
          <w:p>
            <w:pPr>
              <w:spacing w:after="20" w:before="0"/>
              <w:jc w:val="center"/>
            </w:pPr>
            <w:r>
              <w:rPr>
                <w:rFonts w:ascii="Times New Roman" w:cs="Times New Roman" w:eastAsia="Times New Roman" w:hAnsi="Times New Roman"/>
                <w:b w:val="false"/>
                <w:bCs w:val="false"/>
                <w:i w:val="false"/>
                <w:iCs w:val="false"/>
                <w:color w:val="FFFFFF"/>
                <w:sz w:val="22"/>
                <w:szCs w:val="22"/>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7</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BÀI HỌC &amp; KẾT THÚC</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60"/>
              <w:bottom w:type="dxa" w:w="80"/>
              <w:right w:type="dxa" w:w="60"/>
            </w:tcMar>
            <w:vAlign w:val="top"/>
          </w:tcPr>
          <w:p>
            <w:pPr>
              <w:spacing w:after="10" w:before="0"/>
              <w:jc w:val="center"/>
            </w:pPr>
            <w:r>
              <w:rPr>
                <w:rFonts w:ascii="Times New Roman" w:cs="Times New Roman" w:eastAsia="Times New Roman" w:hAnsi="Times New Roman"/>
                <w:b/>
                <w:bCs/>
                <w:i w:val="false"/>
                <w:iCs w:val="false"/>
                <w:color w:val="1A3A5C"/>
                <w:sz w:val="20"/>
                <w:szCs w:val="20"/>
              </w:rPr>
              <w:t xml:space="preserve">4:55</w:t>
            </w:r>
          </w:p>
          <w:p>
            <w:pPr>
              <w:spacing w:after="10" w:before="0"/>
              <w:jc w:val="center"/>
            </w:pPr>
            <w:r>
              <w:rPr>
                <w:rFonts w:ascii="Times New Roman" w:cs="Times New Roman" w:eastAsia="Times New Roman" w:hAnsi="Times New Roman"/>
                <w:b/>
                <w:bCs/>
                <w:i w:val="false"/>
                <w:iCs w:val="false"/>
                <w:color w:val="1A3A5C"/>
                <w:sz w:val="20"/>
                <w:szCs w:val="20"/>
              </w:rPr>
              <w:t xml:space="preserve">–</w:t>
            </w:r>
          </w:p>
          <w:p>
            <w:pPr>
              <w:spacing w:after="10" w:before="0"/>
              <w:jc w:val="center"/>
            </w:pPr>
            <w:r>
              <w:rPr>
                <w:rFonts w:ascii="Times New Roman" w:cs="Times New Roman" w:eastAsia="Times New Roman" w:hAnsi="Times New Roman"/>
                <w:b/>
                <w:bCs/>
                <w:i w:val="false"/>
                <w:iCs w:val="false"/>
                <w:color w:val="1A3A5C"/>
                <w:sz w:val="20"/>
                <w:szCs w:val="20"/>
              </w:rPr>
              <w:t xml:space="preserve">5:30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Quay lại Công ty Thành Phát – sau một tuần. Hùng ngồi họp với kế toán Lan và trưởng phòng nhân sự</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Màn hình chiếu bảng kiểm tra: toàn bộ 150 lao động đã được đăng ký Bảo hiểm Thất nghiệp đầy đủ, mức lương đóng Bảo hiểm Thất nghiệp khớp với lương thực tế</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người lao động nhận thẻ bảo hiểm, nở nụ cười nhẹ nhõm</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Cảnh Hùng đứng trước cửa sổ phòng làm việc, nhìn xuống xưởng sản xuất đang hoạt động, vẻ mặt trầm ngâm nhưng thanh thản hơn</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Logo Bảo hiểm Xã hội Việt Nam xuất hiện trang trọng giữa màn hình</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Hiển thị đường dẫn tra cứu: https://baohiemxahoi.gov.vn/tracuu/Pages/dang-nhap-tra-cuu.aspx – Mục "Tra cứu Bảo hiểm Thất nghiệp"</w:t>
            </w:r>
          </w:p>
          <w:p>
            <w:pPr>
              <w:spacing w:after="50" w:before="8"/>
              <w:jc w:val="left"/>
            </w:pPr>
            <w:r>
              <w:rPr>
                <w:rFonts w:ascii="Times New Roman" w:cs="Times New Roman" w:eastAsia="Times New Roman" w:hAnsi="Times New Roman"/>
                <w:b/>
                <w:bCs/>
                <w:i w:val="false"/>
                <w:iCs w:val="false"/>
                <w:color w:val="2471A3"/>
                <w:sz w:val="18"/>
                <w:szCs w:val="18"/>
              </w:rPr>
              <w:t xml:space="preserve">▸ </w:t>
            </w:r>
            <w:r>
              <w:rPr>
                <w:rFonts w:ascii="Times New Roman" w:cs="Times New Roman" w:eastAsia="Times New Roman" w:hAnsi="Times New Roman"/>
                <w:b w:val="false"/>
                <w:bCs w:val="false"/>
                <w:i w:val="false"/>
                <w:iCs w:val="false"/>
                <w:color w:val="1A1A2E"/>
                <w:sz w:val="19"/>
                <w:szCs w:val="19"/>
              </w:rPr>
              <w:t xml:space="preserve">Slogan cuối màn hình từ từ hiện ra trên nền xanh lá</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10"/>
              <w:bottom w:type="dxa" w:w="80"/>
              <w:right w:type="dxa" w:w="110"/>
            </w:tcMar>
            <w:vAlign w:val="top"/>
          </w:tcPr>
          <w:p>
            <w:pPr>
              <w:spacing w:after="20" w:before="0"/>
              <w:jc w:val="center"/>
            </w:pPr>
            <w:r>
              <w:rPr>
                <w:rFonts w:ascii="Times New Roman" w:cs="Times New Roman" w:eastAsia="Times New Roman" w:hAnsi="Times New Roman"/>
                <w:b/>
                <w:bCs/>
                <w:i w:val="false"/>
                <w:iCs w:val="false"/>
                <w:color w:val="1E6B3A"/>
                <w:sz w:val="19"/>
                <w:szCs w:val="19"/>
              </w:rPr>
              <w:t xml:space="preserve">"Đăng ký đúng hạn</w:t>
            </w:r>
          </w:p>
          <w:p>
            <w:pPr>
              <w:spacing w:after="20" w:before="0"/>
              <w:jc w:val="center"/>
            </w:pPr>
            <w:r>
              <w:rPr>
                <w:rFonts w:ascii="Times New Roman" w:cs="Times New Roman" w:eastAsia="Times New Roman" w:hAnsi="Times New Roman"/>
                <w:b/>
                <w:bCs/>
                <w:i w:val="false"/>
                <w:iCs w:val="false"/>
                <w:color w:val="1E6B3A"/>
                <w:sz w:val="19"/>
                <w:szCs w:val="19"/>
              </w:rPr>
              <w:t xml:space="preserve">Đóng đủ mức lương</w:t>
            </w:r>
          </w:p>
          <w:p>
            <w:pPr>
              <w:spacing w:after="20" w:before="0"/>
              <w:jc w:val="center"/>
            </w:pPr>
            <w:r>
              <w:rPr>
                <w:rFonts w:ascii="Times New Roman" w:cs="Times New Roman" w:eastAsia="Times New Roman" w:hAnsi="Times New Roman"/>
                <w:b/>
                <w:bCs/>
                <w:i w:val="false"/>
                <w:iCs w:val="false"/>
                <w:color w:val="1E6B3A"/>
                <w:sz w:val="19"/>
                <w:szCs w:val="19"/>
              </w:rPr>
              <w:t xml:space="preserve">Quyền lợi vẹn toàn!"</w:t>
            </w:r>
          </w:p>
          <w:p>
            <w:pPr>
              <w:spacing w:after="20" w:before="0"/>
              <w:jc w:val="center"/>
            </w:pPr>
            <w:r>
              <w:rPr>
                <w:rFonts w:ascii="Times New Roman" w:cs="Times New Roman" w:eastAsia="Times New Roman" w:hAnsi="Times New Roman"/>
                <w:b w:val="false"/>
                <w:bCs w:val="false"/>
                <w:i w:val="false"/>
                <w:iCs w:val="false"/>
                <w:color w:val="1A3A5C"/>
                <w:sz w:val="19"/>
                <w:szCs w:val="19"/>
              </w:rPr>
              <w:t xml:space="preserve">Nghị định 283/2026/NĐ-CP</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10"/>
              <w:bottom w:type="dxa" w:w="80"/>
              <w:right w:type="dxa" w:w="110"/>
            </w:tcMar>
            <w:vAlign w:val="top"/>
          </w:tcPr>
          <w:p>
            <w:pPr>
              <w:spacing w:after="50" w:before="0"/>
              <w:jc w:val="left"/>
            </w:pPr>
            <w:r>
              <w:rPr>
                <w:rFonts w:ascii="Times New Roman" w:cs="Times New Roman" w:eastAsia="Times New Roman" w:hAnsi="Times New Roman"/>
                <w:b/>
                <w:bCs/>
                <w:i w:val="false"/>
                <w:iCs w:val="false"/>
                <w:color w:val="1E6B3A"/>
                <w:sz w:val="19"/>
                <w:szCs w:val="19"/>
              </w:rPr>
              <w:t xml:space="preserve">HÙNG (giọng chân thành, nhìn vào ống kính):</w:t>
            </w:r>
            <w:r>
              <w:rPr>
                <w:rFonts w:ascii="Times New Roman" w:cs="Times New Roman" w:eastAsia="Times New Roman" w:hAnsi="Times New Roman"/>
                <w:b w:val="false"/>
                <w:bCs w:val="false"/>
                <w:i/>
                <w:iCs/>
                <w:color w:val="1A1A2E"/>
                <w:sz w:val="19"/>
                <w:szCs w:val="19"/>
              </w:rPr>
              <w:t xml:space="preserve"> "Tôi đã sai khi nghĩ rằng tiết kiệm vài triệu chi phí mỗi tháng là khôn ngoan. Thực ra, tôi đã đánh cược với quyền lợi của 150 con người và chịu hậu quả gấp nhiều lần. Bảo hiểm thất nghiệp không phải là gánh nặng – đó là tấm lưới bảo vệ người lao động khi khó khăn."</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val="false"/>
                <w:bCs w:val="false"/>
                <w:i w:val="false"/>
                <w:iCs w:val="false"/>
                <w:color w:val="1A1A2E"/>
                <w:sz w:val="19"/>
                <w:szCs w:val="19"/>
              </w:rPr>
              <w:t xml:space="preserve"> "Bảo hiểm thất nghiệp là quyền lợi thiết thực của người lao động khi mất việc làm. Người sử dụng lao động có trách nhiệm đăng ký đúng hạn, đóng đúng mức lương thực tế và đóng đầy đủ cho tất cả người lao động thuộc đối tượng bắt buộc tham gia."</w:t>
            </w:r>
          </w:p>
          <w:p>
            <w:pPr>
              <w:spacing w:after="50" w:before="16"/>
              <w:jc w:val="left"/>
            </w:pPr>
            <w:r>
              <w:rPr>
                <w:rFonts w:ascii="Times New Roman" w:cs="Times New Roman" w:eastAsia="Times New Roman" w:hAnsi="Times New Roman"/>
                <w:b/>
                <w:bCs/>
                <w:i w:val="false"/>
                <w:iCs w:val="false"/>
                <w:color w:val="1A3A5C"/>
                <w:sz w:val="19"/>
                <w:szCs w:val="19"/>
              </w:rPr>
              <w:t xml:space="preserve">NARRATOR:</w:t>
            </w:r>
            <w:r>
              <w:rPr>
                <w:rFonts w:ascii="Times New Roman" w:cs="Times New Roman" w:eastAsia="Times New Roman" w:hAnsi="Times New Roman"/>
                <w:b/>
                <w:bCs/>
                <w:i w:val="false"/>
                <w:iCs w:val="false"/>
                <w:color w:val="1A1A2E"/>
                <w:sz w:val="19"/>
                <w:szCs w:val="19"/>
              </w:rPr>
              <w:t xml:space="preserve"> "Hãy thực hiện đúng quy định tại Điều 46 Nghị định 283 năm 2026 để bảo vệ quyền lợi người lao động, bảo vệ uy tín doanh nghiệp và tránh mức phạt có thể lên đến 150 triệu đồng!"</w:t>
            </w:r>
          </w:p>
          <w:p>
            <w:pPr>
              <w:spacing w:after="50" w:before="16"/>
              <w:jc w:val="left"/>
            </w:pPr>
            <w:r>
              <w:rPr>
                <w:rFonts w:ascii="Times New Roman" w:cs="Times New Roman" w:eastAsia="Times New Roman" w:hAnsi="Times New Roman"/>
                <w:b/>
                <w:bCs/>
                <w:i w:val="false"/>
                <w:iCs w:val="false"/>
                <w:color w:val="1E6B3A"/>
                <w:sz w:val="19"/>
                <w:szCs w:val="19"/>
              </w:rPr>
              <w:t xml:space="preserve">SLOGAN:</w:t>
            </w:r>
            <w:r>
              <w:rPr>
                <w:rFonts w:ascii="Times New Roman" w:cs="Times New Roman" w:eastAsia="Times New Roman" w:hAnsi="Times New Roman"/>
                <w:b/>
                <w:bCs/>
                <w:i w:val="false"/>
                <w:iCs w:val="false"/>
                <w:color w:val="1E6B3A"/>
                <w:sz w:val="19"/>
                <w:szCs w:val="19"/>
              </w:rPr>
              <w:t xml:space="preserve"> "ĐĂNG KÝ ĐÚNG HẠN – ĐÓNG ĐỦ MỨC LƯƠNG – QUYỀN LỢI VẸN TOÀN!"</w:t>
            </w:r>
          </w:p>
        </w:tc>
      </w:tr>
    </w:tbl>
    <w:p>
      <w:pPr>
        <w:spacing w:after="60" w:before="0"/>
      </w:pPr>
    </w:p>
    <w:tbl>
      <w:tblPr>
        <w:tblW w:type="dxa" w:w="13680"/>
        <w:tblBorders>
          <w:top w:val="none"/>
          <w:left w:val="none"/>
          <w:bottom w:val="none"/>
          <w:right w:val="none"/>
          <w:insideH w:val="single" w:color="auto" w:sz="4"/>
          <w:insideV w:val="single" w:color="auto" w:sz="4"/>
        </w:tblBorders>
      </w:tblPr>
      <w:tblGrid>
        <w:gridCol w:w="13680"/>
      </w:tblGrid>
      <w:tr>
        <w:tc>
          <w:tcPr>
            <w:tcW w:type="pct" w:w="100%"/>
            <w:tcBorders>
              <w:top w:val="single" w:color="37474F" w:sz="6"/>
              <w:left w:val="single" w:color="37474F" w:sz="6"/>
              <w:bottom w:val="single" w:color="37474F" w:sz="6"/>
              <w:right w:val="single" w:color="37474F" w:sz="6"/>
            </w:tcBorders>
            <w:shd w:fill="37474F" w:color="37474F" w:val="clear"/>
            <w:tcMar>
              <w:top w:type="dxa" w:w="75"/>
              <w:left w:type="dxa" w:w="160"/>
              <w:bottom w:type="dxa" w:w="75"/>
              <w:right w:type="dxa" w:w="14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GHI CHÚ SẢN XUẤT</w:t>
            </w:r>
            <w:r>
              <w:rPr>
                <w:rFonts w:ascii="Times New Roman" w:cs="Times New Roman" w:eastAsia="Times New Roman" w:hAnsi="Times New Roman"/>
                <w:b w:val="false"/>
                <w:bCs w:val="false"/>
                <w:i w:val="false"/>
                <w:iCs w:val="false"/>
                <w:color w:val="D6EAF8"/>
                <w:sz w:val="18"/>
                <w:szCs w:val="18"/>
              </w:rPr>
              <w:t xml:space="preserve">   </w:t>
            </w:r>
          </w:p>
        </w:tc>
      </w:tr>
    </w:tbl>
    <w:p>
      <w:pPr>
        <w:spacing w:after="60" w:before="0"/>
      </w:pP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Âm nhạc:</w:t>
      </w:r>
      <w:r>
        <w:rPr>
          <w:rFonts w:ascii="Times New Roman" w:cs="Times New Roman" w:eastAsia="Times New Roman" w:hAnsi="Times New Roman"/>
          <w:b w:val="false"/>
          <w:bCs w:val="false"/>
          <w:i w:val="false"/>
          <w:iCs w:val="false"/>
          <w:color w:val="1A1A2E"/>
          <w:sz w:val="21"/>
          <w:szCs w:val="21"/>
        </w:rPr>
        <w:t xml:space="preserve"> Nhạc nền vui tươi, nhẹ nhàng trong phần mở đầu → chuyển sang nhạc căng thẳng, hồi hộp khi đoàn thanh tra xuất hiện → nhạc nhẹ nhõm, tích cực trong phần kết thúc.</w:t>
      </w: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Màu sắc chủ đạo:</w:t>
      </w:r>
      <w:r>
        <w:rPr>
          <w:rFonts w:ascii="Times New Roman" w:cs="Times New Roman" w:eastAsia="Times New Roman" w:hAnsi="Times New Roman"/>
          <w:b w:val="false"/>
          <w:bCs w:val="false"/>
          <w:i w:val="false"/>
          <w:iCs w:val="false"/>
          <w:color w:val="1A1A2E"/>
          <w:sz w:val="21"/>
          <w:szCs w:val="21"/>
        </w:rPr>
        <w:t xml:space="preserve"> Xanh dương đậm (uy tín pháp luật) – Đỏ (cảnh báo vi phạm) – Xanh lá (kết quả tích cực, tuân thủ đúng).</w:t>
      </w: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Hiệu ứng đặc biệt:</w:t>
      </w:r>
      <w:r>
        <w:rPr>
          <w:rFonts w:ascii="Times New Roman" w:cs="Times New Roman" w:eastAsia="Times New Roman" w:hAnsi="Times New Roman"/>
          <w:b w:val="false"/>
          <w:bCs w:val="false"/>
          <w:i w:val="false"/>
          <w:iCs w:val="false"/>
          <w:color w:val="1A1A2E"/>
          <w:sz w:val="21"/>
          <w:szCs w:val="21"/>
        </w:rPr>
        <w:t xml:space="preserve"> Con số tiền phạt đếm tăng dần tạo cảm giác nặng nề; bảng điều khoản pháp lý zoom từng phần để người xem dễ tiếp thu.</w:t>
      </w: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Caption pháp lý:</w:t>
      </w:r>
      <w:r>
        <w:rPr>
          <w:rFonts w:ascii="Times New Roman" w:cs="Times New Roman" w:eastAsia="Times New Roman" w:hAnsi="Times New Roman"/>
          <w:b w:val="false"/>
          <w:bCs w:val="false"/>
          <w:i w:val="false"/>
          <w:iCs w:val="false"/>
          <w:color w:val="1A1A2E"/>
          <w:sz w:val="21"/>
          <w:szCs w:val="21"/>
        </w:rPr>
        <w:t xml:space="preserve"> Hiển thị điều khoản trích dẫn dưới dạng chữ nhỏ phía dưới màn hình trong suốt các cảnh giải thích pháp luật.</w:t>
      </w: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Đồng phục nhân vật:</w:t>
      </w:r>
      <w:r>
        <w:rPr>
          <w:rFonts w:ascii="Times New Roman" w:cs="Times New Roman" w:eastAsia="Times New Roman" w:hAnsi="Times New Roman"/>
          <w:b w:val="false"/>
          <w:bCs w:val="false"/>
          <w:i w:val="false"/>
          <w:iCs w:val="false"/>
          <w:color w:val="1A1A2E"/>
          <w:sz w:val="21"/>
          <w:szCs w:val="21"/>
        </w:rPr>
        <w:t xml:space="preserve"> Giám đốc Hùng – vest đen. Nhân viên Lan – áo sơ mi trắng. Thanh tra Bình – đồng phục Thanh tra Bảo hiểm Xã hội màu xanh.</w:t>
      </w:r>
    </w:p>
    <w:p>
      <w:pPr>
        <w:spacing w:after="50" w:before="0"/>
      </w:pPr>
      <w:r>
        <w:rPr>
          <w:rFonts w:ascii="Times New Roman" w:cs="Times New Roman" w:eastAsia="Times New Roman" w:hAnsi="Times New Roman"/>
          <w:b/>
          <w:bCs/>
          <w:i w:val="false"/>
          <w:iCs w:val="false"/>
          <w:color w:val="1A3A5C"/>
          <w:sz w:val="21"/>
          <w:szCs w:val="21"/>
        </w:rPr>
        <w:t xml:space="preserve">• </w:t>
      </w:r>
      <w:r>
        <w:rPr>
          <w:rFonts w:ascii="Times New Roman" w:cs="Times New Roman" w:eastAsia="Times New Roman" w:hAnsi="Times New Roman"/>
          <w:b/>
          <w:bCs/>
          <w:i w:val="false"/>
          <w:iCs w:val="false"/>
          <w:color w:val="1A3A5C"/>
          <w:sz w:val="21"/>
          <w:szCs w:val="21"/>
        </w:rPr>
        <w:t xml:space="preserve">Kết thúc video:</w:t>
      </w:r>
      <w:r>
        <w:rPr>
          <w:rFonts w:ascii="Times New Roman" w:cs="Times New Roman" w:eastAsia="Times New Roman" w:hAnsi="Times New Roman"/>
          <w:b w:val="false"/>
          <w:bCs w:val="false"/>
          <w:i w:val="false"/>
          <w:iCs w:val="false"/>
          <w:color w:val="1A1A2E"/>
          <w:sz w:val="21"/>
          <w:szCs w:val="21"/>
        </w:rPr>
        <w:t xml:space="preserve"> Hiển thị logo Bảo hiểm Xã hội Việt Nam, đường dẫn tra cứu Bảo hiểm Thất nghiệp tại https://baohiemxahoi.gov.vn/tracuu/Pages/dang-nhap-tra-cuu.aspx – Mục "Tra cứu Bảo hiểm Thất nghiệp".</w:t>
      </w:r>
    </w:p>
    <w:sectPr>
      <w:pgSz w:w="15840" w:h="12240" w:orient="portrait"/>
      <w:pgMar w:top="720" w:right="860" w:bottom="7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2026-08-15T02:54:52.280Z</dcterms:created>
  <dcterms:modified xsi:type="dcterms:W3CDTF">2026-08-15T02:54:52.280Z</dcterms:modified>
</cp:coreProperties>
</file>

<file path=docProps/custom.xml><?xml version="1.0" encoding="utf-8"?>
<Properties xmlns="http://schemas.openxmlformats.org/officeDocument/2006/custom-properties" xmlns:vt="http://schemas.openxmlformats.org/officeDocument/2006/docPropsVTypes"/>
</file>