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rFonts w:ascii="Calibri" w:hAnsi="Calibri"/>
          <w:b/>
          <w:color w:val="0F172A"/>
          <w:sz w:val="36"/>
        </w:rPr>
        <w:t>HỆ THỐNG QUẢN LÝ BÃI XE THÔNG MINH</w:t>
      </w:r>
    </w:p>
    <w:p>
      <w:r>
        <w:rPr>
          <w:rFonts w:ascii="Calibri" w:hAnsi="Calibri"/>
          <w:rFonts w:ascii="Calibri" w:hAnsi="Calibri"/>
          <w:b/>
          <w:color w:val="2563EB"/>
          <w:sz w:val="28"/>
        </w:rPr>
        <w:t>TỔNG HỢP SƠ ĐỒ &amp; MÃ NGUỒN THIẾT KẾ HƯỚNG ĐỐI TƯỢNG (OOD DIAGRAM CODE)</w:t>
      </w:r>
    </w:p>
    <w:p>
      <w:r>
        <w:rPr>
          <w:rFonts w:ascii="Calibri" w:hAnsi="Calibri"/>
          <w:rFonts w:ascii="Calibri" w:hAnsi="Calibri"/>
          <w:i/>
          <w:color w:val="475569"/>
          <w:sz w:val="21"/>
        </w:rPr>
        <w:t>Tuyển tập Sơ đồ Lớp, Sequence Diagrams, State Machine &amp; Activity Diagrams kèm Mã PlantUML / Mermaid</w:t>
      </w:r>
    </w:p>
    <w:tbl>
      <w:tblPr>
        <w:tblW w:type="auto" w:w="0"/>
        <w:jc w:val="left"/>
        <w:tblLayout w:type="fixed"/>
        <w:tblLook w:firstColumn="1" w:firstRow="1" w:lastColumn="0" w:lastRow="0" w:noHBand="0" w:noVBand="1" w:val="04A0"/>
      </w:tblPr>
      <w:tblGrid>
        <w:gridCol w:w="4680"/>
        <w:gridCol w:w="4680"/>
      </w:tblGrid>
      <w:tr>
        <w:tc>
          <w:tcPr>
            <w:tcW w:type="dxa" w:w="2880"/>
            <w:vAlign w:val="center"/>
            <w:shd w:val="clear" w:color="auto" w:fill="F1F5F9"/>
          </w:tcPr>
          <w:p>
            <w:pPr>
              <w:spacing w:after="40" w:before="40" w:line="252" w:lineRule="auto"/>
              <w:jc w:val="left"/>
            </w:pPr>
            <w:r>
              <w:rPr>
                <w:rFonts w:ascii="Calibri" w:hAnsi="Calibri"/>
                <w:rFonts w:ascii="Calibri" w:hAnsi="Calibri"/>
                <w:b/>
                <w:color w:val="0F172A"/>
                <w:sz w:val="18"/>
              </w:rPr>
              <w:t>Dự án áp dụng</w:t>
            </w:r>
          </w:p>
        </w:tc>
        <w:tc>
          <w:tcPr>
            <w:tcW w:type="dxa" w:w="6480"/>
            <w:vAlign w:val="center"/>
          </w:tcPr>
          <w:p>
            <w:pPr>
              <w:spacing w:after="40" w:before="40" w:line="252" w:lineRule="auto"/>
              <w:jc w:val="left"/>
            </w:pPr>
            <w:r>
              <w:rPr>
                <w:rFonts w:ascii="Calibri" w:hAnsi="Calibri"/>
                <w:rFonts w:ascii="Calibri" w:hAnsi="Calibri"/>
                <w:b w:val="0"/>
                <w:sz w:val="18"/>
              </w:rPr>
              <w:t>Hệ thống Quản lý Bãi đỗ xe tích hợp AI (Nhóm 10)</w:t>
            </w:r>
          </w:p>
        </w:tc>
      </w:tr>
      <w:tr>
        <w:tc>
          <w:tcPr>
            <w:tcW w:type="dxa" w:w="2880"/>
            <w:vAlign w:val="center"/>
            <w:shd w:val="clear" w:color="auto" w:fill="F1F5F9"/>
          </w:tcPr>
          <w:p>
            <w:pPr>
              <w:spacing w:after="40" w:before="40" w:line="252" w:lineRule="auto"/>
              <w:jc w:val="left"/>
            </w:pPr>
            <w:r>
              <w:rPr>
                <w:rFonts w:ascii="Calibri" w:hAnsi="Calibri"/>
                <w:rFonts w:ascii="Calibri" w:hAnsi="Calibri"/>
                <w:b/>
                <w:color w:val="0F172A"/>
                <w:sz w:val="18"/>
              </w:rPr>
              <w:t>Loại tài liệu</w:t>
            </w:r>
          </w:p>
        </w:tc>
        <w:tc>
          <w:tcPr>
            <w:tcW w:type="dxa" w:w="6480"/>
            <w:vAlign w:val="center"/>
          </w:tcPr>
          <w:p>
            <w:pPr>
              <w:spacing w:after="40" w:before="40" w:line="252" w:lineRule="auto"/>
              <w:jc w:val="left"/>
            </w:pPr>
            <w:r>
              <w:rPr>
                <w:rFonts w:ascii="Calibri" w:hAnsi="Calibri"/>
                <w:rFonts w:ascii="Calibri" w:hAnsi="Calibri"/>
                <w:b w:val="0"/>
                <w:sz w:val="18"/>
              </w:rPr>
              <w:t>Tổng hợp Sơ đồ Ảnh &amp; Mã nguồn Sơ đồ (PlantUML / Mermaid Code)</w:t>
            </w:r>
          </w:p>
        </w:tc>
      </w:tr>
      <w:tr>
        <w:tc>
          <w:tcPr>
            <w:tcW w:type="dxa" w:w="2880"/>
            <w:vAlign w:val="center"/>
            <w:shd w:val="clear" w:color="auto" w:fill="F1F5F9"/>
          </w:tcPr>
          <w:p>
            <w:pPr>
              <w:spacing w:after="40" w:before="40" w:line="252" w:lineRule="auto"/>
              <w:jc w:val="left"/>
            </w:pPr>
            <w:r>
              <w:rPr>
                <w:rFonts w:ascii="Calibri" w:hAnsi="Calibri"/>
                <w:rFonts w:ascii="Calibri" w:hAnsi="Calibri"/>
                <w:b/>
                <w:color w:val="0F172A"/>
                <w:sz w:val="18"/>
              </w:rPr>
              <w:t>Ứng dụng mã nguồn</w:t>
            </w:r>
          </w:p>
        </w:tc>
        <w:tc>
          <w:tcPr>
            <w:tcW w:type="dxa" w:w="6480"/>
            <w:vAlign w:val="center"/>
          </w:tcPr>
          <w:p>
            <w:pPr>
              <w:spacing w:after="40" w:before="40" w:line="252" w:lineRule="auto"/>
              <w:jc w:val="left"/>
            </w:pPr>
            <w:r>
              <w:rPr>
                <w:rFonts w:ascii="Calibri" w:hAnsi="Calibri"/>
                <w:rFonts w:ascii="Calibri" w:hAnsi="Calibri"/>
                <w:b w:val="0"/>
                <w:sz w:val="18"/>
              </w:rPr>
              <w:t>Dùng nạp trực tiếp vào StarUML, PlantUML Extension hoặc Mermaid Live Editor</w:t>
            </w:r>
          </w:p>
        </w:tc>
      </w:tr>
      <w:tr>
        <w:tc>
          <w:tcPr>
            <w:tcW w:type="dxa" w:w="2880"/>
            <w:vAlign w:val="center"/>
            <w:shd w:val="clear" w:color="auto" w:fill="F1F5F9"/>
          </w:tcPr>
          <w:p>
            <w:pPr>
              <w:spacing w:after="40" w:before="40" w:line="252" w:lineRule="auto"/>
              <w:jc w:val="left"/>
            </w:pPr>
            <w:r>
              <w:rPr>
                <w:rFonts w:ascii="Calibri" w:hAnsi="Calibri"/>
                <w:rFonts w:ascii="Calibri" w:hAnsi="Calibri"/>
                <w:b/>
                <w:color w:val="0F172A"/>
                <w:sz w:val="18"/>
              </w:rPr>
              <w:t>Phiên bản tài liệu</w:t>
            </w:r>
          </w:p>
        </w:tc>
        <w:tc>
          <w:tcPr>
            <w:tcW w:type="dxa" w:w="6480"/>
            <w:vAlign w:val="center"/>
          </w:tcPr>
          <w:p>
            <w:pPr>
              <w:spacing w:after="40" w:before="40" w:line="252" w:lineRule="auto"/>
              <w:jc w:val="left"/>
            </w:pPr>
            <w:r>
              <w:rPr>
                <w:rFonts w:ascii="Calibri" w:hAnsi="Calibri"/>
                <w:rFonts w:ascii="Calibri" w:hAnsi="Calibri"/>
                <w:b w:val="0"/>
                <w:sz w:val="18"/>
              </w:rPr>
              <w:t>v1.0 — Đóng gói đồng bộ với file Thiết kế OOD v2.0</w:t>
            </w:r>
          </w:p>
        </w:tc>
      </w:tr>
    </w:tbl>
    <w:p>
      <w:pPr>
        <w:spacing w:after="240"/>
      </w:pPr>
    </w:p>
    <w:p>
      <w:pPr>
        <w:pStyle w:val="Heading1"/>
      </w:pPr>
      <w:r>
        <w:rPr>
          <w:rFonts w:ascii="Calibri" w:hAnsi="Calibri"/>
          <w:rFonts w:ascii="Calibri" w:hAnsi="Calibri"/>
          <w:b/>
          <w:color w:val="0F172A"/>
          <w:sz w:val="28"/>
        </w:rPr>
        <w:t>Hướng dẫn Sử dụng Mã nguồn Sơ đồ (Diagram Code Guide)</w:t>
      </w:r>
    </w:p>
    <w:p>
      <w:pPr>
        <w:spacing w:line="276" w:lineRule="auto"/>
      </w:pPr>
      <w:r>
        <w:rPr>
          <w:rFonts w:ascii="Calibri" w:hAnsi="Calibri"/>
          <w:rFonts w:ascii="Calibri" w:hAnsi="Calibri"/>
          <w:color w:val="1E293B"/>
          <w:sz w:val="20"/>
        </w:rPr>
        <w:t>Tài liệu này tổng hợp toàn bộ các sơ đồ thiết kế hướng đối tượng được chèn trong báo cáo OOD v2.0 kèm mã nguồn gốc chi tiết:</w:t>
        <w:br/>
        <w:t>• Tất cả mã sơ đồ PlantUML (trong khung Consolas) tuân thủ đúng chuẩn cú pháp PlantUML 1.2026+.</w:t>
        <w:br/>
        <w:t>• Các khối `alt` / `else` / `end` trong sơ đồ tuần tự được viết đúng thứ tự, bảo đảm không bị lỗi `Cannot create group`.</w:t>
        <w:br/>
        <w:t>• Em có thể sao chép trực tiếp đoạn mã trong các ô khung xám để dán vào công cụ StarUML (qua extension PlantUML) hoặc VS Code để render lại sơ đồ bất cứ lúc nào.</w:t>
      </w:r>
    </w:p>
    <w:p>
      <w:r>
        <w:br w:type="page"/>
      </w:r>
    </w:p>
    <w:p>
      <w:pPr>
        <w:pStyle w:val="Heading1"/>
      </w:pPr>
      <w:r>
        <w:rPr>
          <w:rFonts w:ascii="Calibri" w:hAnsi="Calibri"/>
          <w:rFonts w:ascii="Calibri" w:hAnsi="Calibri"/>
          <w:b/>
          <w:color w:val="0F172A"/>
          <w:sz w:val="26"/>
        </w:rPr>
        <w:t>1. Sơ đồ Lớp tổng thể (UML 2.5 Class Diagram)</w:t>
      </w:r>
    </w:p>
    <w:p>
      <w:pPr>
        <w:spacing w:after="120"/>
      </w:pPr>
      <w:r>
        <w:rPr>
          <w:rFonts w:ascii="Calibri" w:hAnsi="Calibri"/>
          <w:rFonts w:ascii="Calibri" w:hAnsi="Calibri"/>
          <w:i/>
          <w:color w:val="334155"/>
          <w:sz w:val="19"/>
        </w:rPr>
        <w:t>Mã sơ đồ: CLS-DIAGRAM-001 | Biểu diễn cấu trúc 21 Lớp thuộc 5 Module nghiệp vụ (Access, Catalog, Operation, Search &amp; Report, AI Integration) và Tầng truy cập dữ liệu.</w:t>
      </w:r>
    </w:p>
    <w:p>
      <w:r>
        <w:drawing>
          <wp:inline xmlns:a="http://schemas.openxmlformats.org/drawingml/2006/main" xmlns:pic="http://schemas.openxmlformats.org/drawingml/2006/picture">
            <wp:extent cx="5943600" cy="4086225"/>
            <wp:docPr id="1" name="Picture 1"/>
            <wp:cNvGraphicFramePr>
              <a:graphicFrameLocks noChangeAspect="1"/>
            </wp:cNvGraphicFramePr>
            <a:graphic>
              <a:graphicData uri="http://schemas.openxmlformats.org/drawingml/2006/picture">
                <pic:pic>
                  <pic:nvPicPr>
                    <pic:cNvPr id="0" name="class_diagram_v2.png"/>
                    <pic:cNvPicPr/>
                  </pic:nvPicPr>
                  <pic:blipFill>
                    <a:blip r:embed="rId9"/>
                    <a:stretch>
                      <a:fillRect/>
                    </a:stretch>
                  </pic:blipFill>
                  <pic:spPr>
                    <a:xfrm>
                      <a:off x="0" y="0"/>
                      <a:ext cx="5943600" cy="4086225"/>
                    </a:xfrm>
                    <a:prstGeom prst="rect"/>
                  </pic:spPr>
                </pic:pic>
              </a:graphicData>
            </a:graphic>
          </wp:inline>
        </w:drawing>
      </w:r>
    </w:p>
    <w:p>
      <w:pPr>
        <w:spacing w:before="80" w:after="200"/>
        <w:jc w:val="center"/>
      </w:pPr>
      <w:r>
        <w:rPr>
          <w:rFonts w:ascii="Calibri" w:hAnsi="Calibri"/>
          <w:rFonts w:ascii="Calibri" w:hAnsi="Calibri"/>
          <w:i/>
          <w:color w:val="64748B"/>
          <w:sz w:val="17"/>
        </w:rPr>
        <w:t>Hình — 1: Visual Diagram CLS-DIAGRAM-001</w:t>
      </w:r>
    </w:p>
    <w:p>
      <w:pPr>
        <w:pStyle w:val="Heading2"/>
      </w:pPr>
      <w:r>
        <w:rPr>
          <w:rFonts w:ascii="Calibri" w:hAnsi="Calibri"/>
          <w:rFonts w:ascii="Calibri" w:hAnsi="Calibri"/>
          <w:b/>
          <w:color w:val="1E293B"/>
          <w:sz w:val="22"/>
        </w:rPr>
        <w:t>Mã nguồn PlantUML (CLS-DIAGRAM-001)</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Mô hình Lớp tổng thể — Hệ thống Quản lý Bãi xe Thông minh</w:t>
              <w:br/>
              <w:t>skinparam classAttributeIconSize 0</w:t>
              <w:br/>
              <w:br/>
              <w:t>package "MOD-001 Access" {</w:t>
              <w:br/>
              <w:t xml:space="preserve">    class UserAccount {</w:t>
              <w:br/>
              <w:t xml:space="preserve">        -accountId: String</w:t>
              <w:br/>
              <w:t xml:space="preserve">        -role: Role</w:t>
              <w:br/>
              <w:t xml:space="preserve">        +hasRole(role): boolean</w:t>
              <w:br/>
              <w:t xml:space="preserve">    }</w:t>
              <w:br/>
              <w:t xml:space="preserve">    class AuthService {</w:t>
              <w:br/>
              <w:t xml:space="preserve">        +authenticate(username, password)</w:t>
              <w:br/>
              <w:t xml:space="preserve">        +authorize(userAccount, role)</w:t>
              <w:br/>
              <w:t xml:space="preserve">    }</w:t>
              <w:br/>
              <w:t>}</w:t>
              <w:br/>
              <w:br/>
              <w:t>package "MOD-002 Parking Catalog" {</w:t>
              <w:br/>
              <w:t xml:space="preserve">    class ParkingArea {</w:t>
              <w:br/>
              <w:t xml:space="preserve">        -areaId: String</w:t>
              <w:br/>
              <w:t xml:space="preserve">        -capacity: int</w:t>
              <w:br/>
              <w:t xml:space="preserve">        +exposeAvailableSlotCount(): int</w:t>
              <w:br/>
              <w:t xml:space="preserve">    }</w:t>
              <w:br/>
              <w:t xml:space="preserve">    class ParkingSlot {</w:t>
              <w:br/>
              <w:t xml:space="preserve">        -slotId: String</w:t>
              <w:br/>
              <w:t xml:space="preserve">        -status: SlotStatus</w:t>
              <w:br/>
              <w:t xml:space="preserve">        +updateStatus(status): void</w:t>
              <w:br/>
              <w:t xml:space="preserve">    }</w:t>
              <w:br/>
              <w:t xml:space="preserve">    class VehicleType {</w:t>
              <w:br/>
              <w:t xml:space="preserve">        -typeId: String</w:t>
              <w:br/>
              <w:t xml:space="preserve">        +matches(vehicle): boolean</w:t>
              <w:br/>
              <w:t xml:space="preserve">    }</w:t>
              <w:br/>
              <w:t xml:space="preserve">    class MonthlyPass {</w:t>
              <w:br/>
              <w:t xml:space="preserve">        -passId: String</w:t>
              <w:br/>
              <w:t xml:space="preserve">        +isValidAt(dateTime): boolean</w:t>
              <w:br/>
              <w:t xml:space="preserve">    }</w:t>
              <w:br/>
              <w:t>}</w:t>
              <w:br/>
              <w:br/>
              <w:t>package "MOD-003 Parking Operation" {</w:t>
              <w:br/>
              <w:t xml:space="preserve">    class Vehicle {</w:t>
              <w:br/>
              <w:t xml:space="preserve">        -identifier: String</w:t>
              <w:br/>
              <w:t xml:space="preserve">        +formatIdentifier(): String</w:t>
              <w:br/>
              <w:t xml:space="preserve">    }</w:t>
              <w:br/>
              <w:t xml:space="preserve">    class ParkingTicket {</w:t>
              <w:br/>
              <w:t xml:space="preserve">        -ticketId: String</w:t>
              <w:br/>
              <w:t xml:space="preserve">        +isValid(): boolean</w:t>
              <w:br/>
              <w:t xml:space="preserve">    }</w:t>
              <w:br/>
              <w:t xml:space="preserve">    class ParkingVisit {</w:t>
              <w:br/>
              <w:t xml:space="preserve">        -visitId: String</w:t>
              <w:br/>
              <w:t xml:space="preserve">        -entryTime: DateTime</w:t>
              <w:br/>
              <w:t xml:space="preserve">        -exitTime: DateTime</w:t>
              <w:br/>
              <w:t xml:space="preserve">        +closeVisit(exitTime)</w:t>
              <w:br/>
              <w:t xml:space="preserve">        +setFee(amount)</w:t>
              <w:br/>
              <w:t xml:space="preserve">    }</w:t>
              <w:br/>
              <w:t xml:space="preserve">    class PriceTable {</w:t>
              <w:br/>
              <w:t xml:space="preserve">        -priceRuleId: String</w:t>
              <w:br/>
              <w:t xml:space="preserve">        +calculateFor(duration): BigDecimal</w:t>
              <w:br/>
              <w:t xml:space="preserve">    }</w:t>
              <w:br/>
              <w:t>}</w:t>
              <w:br/>
              <w:br/>
              <w:t>package "MOD-004 Parking Search &amp; Report" {</w:t>
              <w:br/>
              <w:t xml:space="preserve">    class ParkingStatistics {</w:t>
              <w:br/>
              <w:t xml:space="preserve">        -period: String</w:t>
              <w:br/>
              <w:t xml:space="preserve">        +summarize(): DTO</w:t>
              <w:br/>
              <w:t xml:space="preserve">    }</w:t>
              <w:br/>
              <w:t xml:space="preserve">    class ParkingSearchService {</w:t>
              <w:br/>
              <w:t xml:space="preserve">        +searchByVehicle()</w:t>
              <w:br/>
              <w:t xml:space="preserve">    }</w:t>
              <w:br/>
              <w:t xml:space="preserve">    class ReportingService {</w:t>
              <w:br/>
              <w:t xml:space="preserve">        +buildStatistics(period)</w:t>
              <w:br/>
              <w:t xml:space="preserve">    }</w:t>
              <w:br/>
              <w:t>}</w:t>
              <w:br/>
              <w:br/>
              <w:t>package "MOD-005 AI Integration" {</w:t>
              <w:br/>
              <w:t xml:space="preserve">    class AIAnalysisService {</w:t>
              <w:br/>
              <w:t xml:space="preserve">        +generateReport()</w:t>
              <w:br/>
              <w:t xml:space="preserve">        +answerQuestion()</w:t>
              <w:br/>
              <w:t xml:space="preserve">    }</w:t>
              <w:br/>
              <w:t xml:space="preserve">    class PromptTemplate {</w:t>
              <w:br/>
              <w:t xml:space="preserve">        +compose(context)</w:t>
              <w:br/>
              <w:t xml:space="preserve">    }</w:t>
              <w:br/>
              <w:t xml:space="preserve">    class StatisticsContextProvider {</w:t>
              <w:br/>
              <w:t xml:space="preserve">        +provideContext(role)</w:t>
              <w:br/>
              <w:t xml:space="preserve">    }</w:t>
              <w:br/>
              <w:t xml:space="preserve">    class AIAdapter {</w:t>
              <w:br/>
              <w:t xml:space="preserve">        +requestAnalysis(prompt)</w:t>
              <w:br/>
              <w:t xml:space="preserve">    }</w:t>
              <w:br/>
              <w:t xml:space="preserve">    class AIResponseValidator {</w:t>
              <w:br/>
              <w:t xml:space="preserve">        +validate(rawResponse)</w:t>
              <w:br/>
              <w:t xml:space="preserve">    }</w:t>
              <w:br/>
              <w:t>}</w:t>
              <w:br/>
              <w:br/>
              <w:t>package "Data Access Layer" {</w:t>
              <w:br/>
              <w:t xml:space="preserve">    class ParkingDataRepository {</w:t>
              <w:br/>
              <w:t xml:space="preserve">        +save(entity)</w:t>
              <w:br/>
              <w:t xml:space="preserve">        +findById(id)</w:t>
              <w:br/>
              <w:t xml:space="preserve">    }</w:t>
              <w:br/>
              <w:t>}</w:t>
              <w:br/>
              <w:br/>
              <w:t>UserAccount --&gt; AuthService</w:t>
              <w:br/>
              <w:t>ParkingSlot --&gt; ParkingArea</w:t>
              <w:br/>
              <w:t>ParkingVisit --&gt; Vehicle</w:t>
              <w:br/>
              <w:t>ParkingVisit --&gt; ParkingTicket</w:t>
              <w:br/>
              <w:t>ParkingVisit --&gt; ParkingSlot</w:t>
              <w:br/>
              <w:t>ParkingOperationService --&gt; PriceTable</w:t>
              <w:br/>
              <w:t>AIAnalysisService --&gt; PromptTemplate</w:t>
              <w:br/>
              <w:t>AIAnalysisService --&gt; StatisticsContextProvider</w:t>
              <w:br/>
              <w:t>AIAnalysisService --&gt; AIAdapter</w:t>
              <w:br/>
              <w:t>AIAnalysisService --&gt; AIResponseValidator</w:t>
              <w:br/>
              <w:t>AuthService --&gt; ParkingDataRepository</w:t>
              <w:br/>
              <w:t>@enduml</w:t>
            </w:r>
          </w:p>
        </w:tc>
      </w:tr>
    </w:tbl>
    <w:p>
      <w:pPr>
        <w:spacing w:after="120"/>
      </w:pPr>
    </w:p>
    <w:p>
      <w:pPr>
        <w:pStyle w:val="Heading2"/>
      </w:pPr>
      <w:r>
        <w:rPr>
          <w:rFonts w:ascii="Calibri" w:hAnsi="Calibri"/>
          <w:rFonts w:ascii="Calibri" w:hAnsi="Calibri"/>
          <w:b/>
          <w:color w:val="1E293B"/>
          <w:sz w:val="22"/>
        </w:rPr>
        <w:t>Mã nguồn Mermaid (CLS-DIAGRAM-001)</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classDiagram</w:t>
              <w:br/>
              <w:t xml:space="preserve">    class UserAccount {</w:t>
              <w:br/>
              <w:t xml:space="preserve">        +accountId: String</w:t>
              <w:br/>
              <w:t xml:space="preserve">        +role: Role</w:t>
              <w:br/>
              <w:t xml:space="preserve">        +hasRole(role)</w:t>
              <w:br/>
              <w:t xml:space="preserve">    }</w:t>
              <w:br/>
              <w:t xml:space="preserve">    class AuthService {</w:t>
              <w:br/>
              <w:t xml:space="preserve">        +authenticate()</w:t>
              <w:br/>
              <w:t xml:space="preserve">        +authorize()</w:t>
              <w:br/>
              <w:t xml:space="preserve">    }</w:t>
              <w:br/>
              <w:t xml:space="preserve">    class ParkingArea {</w:t>
              <w:br/>
              <w:t xml:space="preserve">        +areaId: String</w:t>
              <w:br/>
              <w:t xml:space="preserve">        +capacity: int</w:t>
              <w:br/>
              <w:t xml:space="preserve">        +exposeAvailableCount()</w:t>
              <w:br/>
              <w:t xml:space="preserve">    }</w:t>
              <w:br/>
              <w:t xml:space="preserve">    class ParkingSlot {</w:t>
              <w:br/>
              <w:t xml:space="preserve">        +slotId: String</w:t>
              <w:br/>
              <w:t xml:space="preserve">        +status: SlotStatus</w:t>
              <w:br/>
              <w:t xml:space="preserve">        +updateStatus()</w:t>
              <w:br/>
              <w:t xml:space="preserve">    }</w:t>
              <w:br/>
              <w:t xml:space="preserve">    class Vehicle {</w:t>
              <w:br/>
              <w:t xml:space="preserve">        +identifier: String</w:t>
              <w:br/>
              <w:t xml:space="preserve">        +formatIdentifier()</w:t>
              <w:br/>
              <w:t xml:space="preserve">    }</w:t>
              <w:br/>
              <w:t xml:space="preserve">    class ParkingVisit {</w:t>
              <w:br/>
              <w:t xml:space="preserve">        +visitId: String</w:t>
              <w:br/>
              <w:t xml:space="preserve">        +entryTime: DateTime</w:t>
              <w:br/>
              <w:t xml:space="preserve">        +exitTime: DateTime</w:t>
              <w:br/>
              <w:t xml:space="preserve">        +closeVisit()</w:t>
              <w:br/>
              <w:t xml:space="preserve">        +setFee()</w:t>
              <w:br/>
              <w:t xml:space="preserve">    }</w:t>
              <w:br/>
              <w:t xml:space="preserve">    class PriceTable {</w:t>
              <w:br/>
              <w:t xml:space="preserve">        +priceRuleId: String</w:t>
              <w:br/>
              <w:t xml:space="preserve">        +calculateFor()</w:t>
              <w:br/>
              <w:t xml:space="preserve">    }</w:t>
              <w:br/>
              <w:t xml:space="preserve">    class AIAnalysisService {</w:t>
              <w:br/>
              <w:t xml:space="preserve">        +generateReport()</w:t>
              <w:br/>
              <w:t xml:space="preserve">        +answerQuestion()</w:t>
              <w:br/>
              <w:t xml:space="preserve">    }</w:t>
              <w:br/>
              <w:t xml:space="preserve">    class AIAdapter {</w:t>
              <w:br/>
              <w:t xml:space="preserve">        +requestAnalysis()</w:t>
              <w:br/>
              <w:t xml:space="preserve">    }</w:t>
              <w:br/>
              <w:t xml:space="preserve">    class ParkingDataRepository {</w:t>
              <w:br/>
              <w:t xml:space="preserve">        +save()</w:t>
              <w:br/>
              <w:t xml:space="preserve">        +findById()</w:t>
              <w:br/>
              <w:t xml:space="preserve">    }</w:t>
              <w:br/>
              <w:br/>
              <w:t xml:space="preserve">    UserAccount --&gt; AuthService : authenticates</w:t>
              <w:br/>
              <w:t xml:space="preserve">    ParkingSlot --&gt; ParkingArea : belongsTo</w:t>
              <w:br/>
              <w:t xml:space="preserve">    ParkingVisit --&gt; Vehicle : associatedWith</w:t>
              <w:br/>
              <w:t xml:space="preserve">    ParkingOperationService --&gt; PriceTable : calculatesWith</w:t>
              <w:br/>
              <w:t xml:space="preserve">    AIAnalysisService --&gt; AIAdapter : delegatesTo</w:t>
              <w:br/>
              <w:t xml:space="preserve">    AuthService --&gt; ParkingDataRepository : uses</w:t>
            </w:r>
          </w:p>
        </w:tc>
      </w:tr>
    </w:tbl>
    <w:p>
      <w:pPr>
        <w:spacing w:after="120"/>
      </w:pPr>
    </w:p>
    <w:p>
      <w:r>
        <w:br w:type="page"/>
      </w:r>
    </w:p>
    <w:p>
      <w:pPr>
        <w:pStyle w:val="Heading1"/>
      </w:pPr>
      <w:r>
        <w:rPr>
          <w:rFonts w:ascii="Calibri" w:hAnsi="Calibri"/>
          <w:rFonts w:ascii="Calibri" w:hAnsi="Calibri"/>
          <w:b/>
          <w:color w:val="0F172A"/>
          <w:sz w:val="26"/>
        </w:rPr>
        <w:t>2. Sơ đồ Tương tác SEQ-001: Đăng nhập và phân quyền (Sequence Diagram)</w:t>
      </w:r>
    </w:p>
    <w:p>
      <w:pPr>
        <w:spacing w:after="120"/>
      </w:pPr>
      <w:r>
        <w:rPr>
          <w:rFonts w:ascii="Calibri" w:hAnsi="Calibri"/>
          <w:rFonts w:ascii="Calibri" w:hAnsi="Calibri"/>
          <w:i/>
          <w:color w:val="334155"/>
          <w:sz w:val="19"/>
        </w:rPr>
        <w:t>Mã sơ đồ: SEQ-001 | Chuỗi thông điệp tương tác đối tượng khi người dùng đăng nhập hệ thống, bao gồm nhánh xác thực thành công, sai tài khoản (A1), vượt quyền (A2) và lỗi CSDL (E1).</w:t>
      </w:r>
    </w:p>
    <w:p>
      <w:r>
        <w:drawing>
          <wp:inline xmlns:a="http://schemas.openxmlformats.org/drawingml/2006/main" xmlns:pic="http://schemas.openxmlformats.org/drawingml/2006/picture">
            <wp:extent cx="5943600" cy="4706588"/>
            <wp:docPr id="2" name="Picture 2"/>
            <wp:cNvGraphicFramePr>
              <a:graphicFrameLocks noChangeAspect="1"/>
            </wp:cNvGraphicFramePr>
            <a:graphic>
              <a:graphicData uri="http://schemas.openxmlformats.org/drawingml/2006/picture">
                <pic:pic>
                  <pic:nvPicPr>
                    <pic:cNvPr id="0" name="SEQ-001_v2.png"/>
                    <pic:cNvPicPr/>
                  </pic:nvPicPr>
                  <pic:blipFill>
                    <a:blip r:embed="rId10"/>
                    <a:stretch>
                      <a:fillRect/>
                    </a:stretch>
                  </pic:blipFill>
                  <pic:spPr>
                    <a:xfrm>
                      <a:off x="0" y="0"/>
                      <a:ext cx="5943600" cy="4706588"/>
                    </a:xfrm>
                    <a:prstGeom prst="rect"/>
                  </pic:spPr>
                </pic:pic>
              </a:graphicData>
            </a:graphic>
          </wp:inline>
        </w:drawing>
      </w:r>
    </w:p>
    <w:p>
      <w:pPr>
        <w:spacing w:before="80" w:after="200"/>
        <w:jc w:val="center"/>
      </w:pPr>
      <w:r>
        <w:rPr>
          <w:rFonts w:ascii="Calibri" w:hAnsi="Calibri"/>
          <w:rFonts w:ascii="Calibri" w:hAnsi="Calibri"/>
          <w:i/>
          <w:color w:val="64748B"/>
          <w:sz w:val="17"/>
        </w:rPr>
        <w:t>Hình — 2: Visual Diagram SEQ-001</w:t>
      </w:r>
    </w:p>
    <w:p>
      <w:pPr>
        <w:pStyle w:val="Heading2"/>
      </w:pPr>
      <w:r>
        <w:rPr>
          <w:rFonts w:ascii="Calibri" w:hAnsi="Calibri"/>
          <w:rFonts w:ascii="Calibri" w:hAnsi="Calibri"/>
          <w:b/>
          <w:color w:val="1E293B"/>
          <w:sz w:val="22"/>
        </w:rPr>
        <w:t>Mã nguồn PlantUML (SEQ-001)</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SEQ-001 — Đăng nhập và phân quyền</w:t>
              <w:br/>
              <w:t>hide footbox</w:t>
              <w:br/>
              <w:t>skinparam sequenceMessageAlign center</w:t>
              <w:br/>
              <w:t>skinparam responseMessageBelowArrow true</w:t>
              <w:br/>
              <w:t>participant "Actor" as P1</w:t>
              <w:br/>
              <w:t>participant "Giao diện" as P2</w:t>
              <w:br/>
              <w:t>participant "Dịch vụ xác thực" as P3</w:t>
              <w:br/>
              <w:t>participant "Kho tài khoản" as P4</w:t>
              <w:br/>
              <w:br/>
              <w:t>alt Luồng chính thành công</w:t>
              <w:br/>
              <w:t>P1 -&gt; P2 : 1. Gửi thông tin đăng nhập</w:t>
              <w:br/>
              <w:t>P2 -&gt; P3 : 2. Yêu cầu xác thực</w:t>
              <w:br/>
              <w:t>P3 -&gt; P4 : 3. Đối chiếu thông tin tài khoản</w:t>
              <w:br/>
              <w:t>P4 ---&gt; P3 : 4. Trả về thông tin vai trò &amp; quyền</w:t>
              <w:br/>
              <w:t>P3 ---&gt; P2 : 5. Tạo phiên &amp; cấp quyền thành công</w:t>
              <w:br/>
              <w:t>P2 ---&gt; P1 : 6. Thông báo thành công &amp; cấp menu vai trò</w:t>
              <w:br/>
              <w:t>else Luồng thay thế A1 — Thông tin không hợp lệ</w:t>
              <w:br/>
              <w:t>P3 ---&gt; P2 : A1.1: Từ chối xác thực (sai tài khoản/mật khẩu)</w:t>
              <w:br/>
              <w:t>P2 ---&gt; P1 : A1.2: Thông báo không thể xác thực; kết thúc UC</w:t>
              <w:br/>
              <w:t>else Luồng thay thế A2 — Không có quyền chức năng</w:t>
              <w:br/>
              <w:t>P2 ---&gt; P1 : A2.1: Từ chối truy cập chức năng vượt quyền</w:t>
              <w:br/>
              <w:t>else Luồng ngoại lệ E1 — Lỗi CSDL</w:t>
              <w:br/>
              <w:t>P4 ---&gt; P3 : E1.1: Lỗi kết nối CSDL / truy xuất dữ liệu</w:t>
              <w:br/>
              <w:t>P3 ---&gt; P2 : E1.2: Báo lỗi hệ thống, không tạo phiên</w:t>
              <w:br/>
              <w:t>P2 ---&gt; P1 : E1.3: Thông báo lỗi hệ thống, yêu cầu thử lại</w:t>
              <w:br/>
              <w:t>end</w:t>
              <w:br/>
              <w:t>@enduml</w:t>
            </w:r>
          </w:p>
        </w:tc>
      </w:tr>
    </w:tbl>
    <w:p>
      <w:pPr>
        <w:spacing w:after="120"/>
      </w:pPr>
    </w:p>
    <w:p>
      <w:r>
        <w:br w:type="page"/>
      </w:r>
    </w:p>
    <w:p>
      <w:pPr>
        <w:pStyle w:val="Heading1"/>
      </w:pPr>
      <w:r>
        <w:rPr>
          <w:rFonts w:ascii="Calibri" w:hAnsi="Calibri"/>
          <w:rFonts w:ascii="Calibri" w:hAnsi="Calibri"/>
          <w:b/>
          <w:color w:val="0F172A"/>
          <w:sz w:val="26"/>
        </w:rPr>
        <w:t>3. Sơ đồ Tương tác SEQ-005: Ghi nhận xe ra và tính phí (Sequence Diagram)</w:t>
      </w:r>
    </w:p>
    <w:p>
      <w:pPr>
        <w:spacing w:after="120"/>
      </w:pPr>
      <w:r>
        <w:rPr>
          <w:rFonts w:ascii="Calibri" w:hAnsi="Calibri"/>
          <w:rFonts w:ascii="Calibri" w:hAnsi="Calibri"/>
          <w:i/>
          <w:color w:val="334155"/>
          <w:sz w:val="19"/>
        </w:rPr>
        <w:t>Mã sơ đồ: SEQ-005 | Chuỗi thông điệp tương tác khi quẹt thẻ xe ra, đối chiếu lượt xe vào, gọi Bảng giá tính phí, thu tiền và giải phóng chỗ. Bao gồm xử lý lỗi A1, A2, A3 và E1.</w:t>
      </w:r>
    </w:p>
    <w:p>
      <w:r>
        <w:drawing>
          <wp:inline xmlns:a="http://schemas.openxmlformats.org/drawingml/2006/main" xmlns:pic="http://schemas.openxmlformats.org/drawingml/2006/picture">
            <wp:extent cx="5943600" cy="8224456"/>
            <wp:docPr id="3" name="Picture 3"/>
            <wp:cNvGraphicFramePr>
              <a:graphicFrameLocks noChangeAspect="1"/>
            </wp:cNvGraphicFramePr>
            <a:graphic>
              <a:graphicData uri="http://schemas.openxmlformats.org/drawingml/2006/picture">
                <pic:pic>
                  <pic:nvPicPr>
                    <pic:cNvPr id="0" name="SEQ-005_v2.png"/>
                    <pic:cNvPicPr/>
                  </pic:nvPicPr>
                  <pic:blipFill>
                    <a:blip r:embed="rId11"/>
                    <a:stretch>
                      <a:fillRect/>
                    </a:stretch>
                  </pic:blipFill>
                  <pic:spPr>
                    <a:xfrm>
                      <a:off x="0" y="0"/>
                      <a:ext cx="5943600" cy="8224456"/>
                    </a:xfrm>
                    <a:prstGeom prst="rect"/>
                  </pic:spPr>
                </pic:pic>
              </a:graphicData>
            </a:graphic>
          </wp:inline>
        </w:drawing>
      </w:r>
    </w:p>
    <w:p>
      <w:pPr>
        <w:spacing w:before="80" w:after="200"/>
        <w:jc w:val="center"/>
      </w:pPr>
      <w:r>
        <w:rPr>
          <w:rFonts w:ascii="Calibri" w:hAnsi="Calibri"/>
          <w:rFonts w:ascii="Calibri" w:hAnsi="Calibri"/>
          <w:i/>
          <w:color w:val="64748B"/>
          <w:sz w:val="17"/>
        </w:rPr>
        <w:t>Hình — 3: Visual Diagram SEQ-005</w:t>
      </w:r>
    </w:p>
    <w:p>
      <w:pPr>
        <w:pStyle w:val="Heading2"/>
      </w:pPr>
      <w:r>
        <w:rPr>
          <w:rFonts w:ascii="Calibri" w:hAnsi="Calibri"/>
          <w:rFonts w:ascii="Calibri" w:hAnsi="Calibri"/>
          <w:b/>
          <w:color w:val="1E293B"/>
          <w:sz w:val="22"/>
        </w:rPr>
        <w:t>Mã nguồn PlantUML (SEQ-005)</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SEQ-005 — Ghi nhận xe ra và tính phí</w:t>
              <w:br/>
              <w:t>hide footbox</w:t>
              <w:br/>
              <w:t>skinparam sequenceMessageAlign center</w:t>
              <w:br/>
              <w:t>skinparam responseMessageBelowArrow true</w:t>
              <w:br/>
              <w:t>participant "Nhân viên bãi xe" as P1</w:t>
              <w:br/>
              <w:t>participant "Giao diện" as P2</w:t>
              <w:br/>
              <w:t>participant "Dịch vụ bãi xe" as P3</w:t>
              <w:br/>
              <w:t>participant "Kho dữ liệu" as P4</w:t>
              <w:br/>
              <w:t>participant "Bảng giá" as P5</w:t>
              <w:br/>
              <w:br/>
              <w:t>alt Luồng chính thành công</w:t>
              <w:br/>
              <w:t>P1 -&gt; P2 : 1. Quét thẻ / nhập thông tin xe ra</w:t>
              <w:br/>
              <w:t>P2 -&gt; P3 : 2. Yêu cầu ghi nhận xe ra</w:t>
              <w:br/>
              <w:t>P3 -&gt; P4 : 3. Tìm lượt gửi xe tương ứng</w:t>
              <w:br/>
              <w:t>P4 ---&gt; P3 : 4. Trả về thông tin lượt gửi &amp; giờ vào</w:t>
              <w:br/>
              <w:t>P3 -&gt; P5 : 5. Yêu cầu tính phí theo loại xe &amp; thời gian</w:t>
              <w:br/>
              <w:t>P5 ---&gt; P3 : 6. Trả về số tiền phí gửi xe</w:t>
              <w:br/>
              <w:t>P3 ---&gt; P2 : 7. Hiển thị số tiền phí cho Nhân viên</w:t>
              <w:br/>
              <w:t>P1 -&gt; P2 : 8. Xác nhận đã thu tiền thanh toán</w:t>
              <w:br/>
              <w:t>P2 -&gt; P3 : 9. Gửi xác nhận thanh toán thành công</w:t>
              <w:br/>
              <w:t>P3 -&gt; P4 : 10. Ghi nhận xe ra &amp; giải phóng vị trí đỗ</w:t>
              <w:br/>
              <w:t>P4 ---&gt; P3 : 11. Lưu hoàn tất lượt gửi thành công</w:t>
              <w:br/>
              <w:t>P3 ---&gt; P2 : 12. Trả về kết quả hoàn tất</w:t>
              <w:br/>
              <w:t>P2 ---&gt; P1 : 13. Thông báo hoàn tất &amp; mở barie xe ra</w:t>
              <w:br/>
              <w:t>else Luồng thay thế A1 — Không tìm thấy lượt gửi</w:t>
              <w:br/>
              <w:t>P4 ---&gt; P3 : A1.1: Không tìm thấy thông tin xe vào</w:t>
              <w:br/>
              <w:t>P3 ---&gt; P2 : A1.2: Báo không tìm thấy lượt gửi</w:t>
              <w:br/>
              <w:t>P2 ---&gt; P1 : A1.3: Báo không tìm thấy; yêu cầu xử lý thủ công</w:t>
              <w:br/>
              <w:t>else Luồng thay thế A2 — Sai lệch thời gian</w:t>
              <w:br/>
              <w:t>P3 ---&gt; P2 : A2.1: Báo sai lệch thời gian ra/vào</w:t>
              <w:br/>
              <w:t>P2 ---&gt; P1 : A2.2: Không tính phí, yêu cầu kiểm tra lại</w:t>
              <w:br/>
              <w:t>else Luồng thay thế A3 — Không tính được phí</w:t>
              <w:br/>
              <w:t>P5 ---&gt; P3 : A3.1: Không có quy định mức phí phù hợp</w:t>
              <w:br/>
              <w:t>P3 ---&gt; P2 : A3.2: Báo lỗi bảng giá không tính được phí</w:t>
              <w:br/>
              <w:t>P2 ---&gt; P1 : A3.3: Thông báo không thể hoàn tất lượt gửi</w:t>
              <w:br/>
              <w:t>else Luồng ngoại lệ E1 — Lỗi lưu CSDL</w:t>
              <w:br/>
              <w:t>P4 ---&gt; P3 : E1.1: Lỗi lưu kết quả xe ra vào CSDL</w:t>
              <w:br/>
              <w:t>P3 ---&gt; P2 : E1.2: Báo lỗi lưu dữ liệu</w:t>
              <w:br/>
              <w:t>P2 ---&gt; P1 : E1.3: Thông báo lỗi hệ thống, chưa hoàn tất xe ra</w:t>
              <w:br/>
              <w:t>end</w:t>
              <w:br/>
              <w:t>@enduml</w:t>
            </w:r>
          </w:p>
        </w:tc>
      </w:tr>
    </w:tbl>
    <w:p>
      <w:pPr>
        <w:spacing w:after="120"/>
      </w:pPr>
    </w:p>
    <w:p>
      <w:r>
        <w:br w:type="page"/>
      </w:r>
    </w:p>
    <w:p>
      <w:pPr>
        <w:pStyle w:val="Heading1"/>
      </w:pPr>
      <w:r>
        <w:rPr>
          <w:rFonts w:ascii="Calibri" w:hAnsi="Calibri"/>
          <w:rFonts w:ascii="Calibri" w:hAnsi="Calibri"/>
          <w:b/>
          <w:color w:val="0F172A"/>
          <w:sz w:val="26"/>
        </w:rPr>
        <w:t>4. Sơ đồ Tương tác SEQ-010: AI sinh báo cáo lưu lượng (Sequence Diagram)</w:t>
      </w:r>
    </w:p>
    <w:p>
      <w:pPr>
        <w:spacing w:after="120"/>
      </w:pPr>
      <w:r>
        <w:rPr>
          <w:rFonts w:ascii="Calibri" w:hAnsi="Calibri"/>
          <w:rFonts w:ascii="Calibri" w:hAnsi="Calibri"/>
          <w:i/>
          <w:color w:val="334155"/>
          <w:sz w:val="19"/>
        </w:rPr>
        <w:t>Mã sơ đồ: SEQ-010 | Chuỗi thông điệp tương tác khi Quản lý yêu cầu AI tạo báo cáo lưu lượng ngày/tuần, xây dựng prompt kèm guardrails, gọi AI API và xử lý fallback E1, E2.</w:t>
      </w:r>
    </w:p>
    <w:p>
      <w:r>
        <w:drawing>
          <wp:inline xmlns:a="http://schemas.openxmlformats.org/drawingml/2006/main" xmlns:pic="http://schemas.openxmlformats.org/drawingml/2006/picture">
            <wp:extent cx="5943600" cy="6812852"/>
            <wp:docPr id="4" name="Picture 4"/>
            <wp:cNvGraphicFramePr>
              <a:graphicFrameLocks noChangeAspect="1"/>
            </wp:cNvGraphicFramePr>
            <a:graphic>
              <a:graphicData uri="http://schemas.openxmlformats.org/drawingml/2006/picture">
                <pic:pic>
                  <pic:nvPicPr>
                    <pic:cNvPr id="0" name="SEQ-010_v2.png"/>
                    <pic:cNvPicPr/>
                  </pic:nvPicPr>
                  <pic:blipFill>
                    <a:blip r:embed="rId12"/>
                    <a:stretch>
                      <a:fillRect/>
                    </a:stretch>
                  </pic:blipFill>
                  <pic:spPr>
                    <a:xfrm>
                      <a:off x="0" y="0"/>
                      <a:ext cx="5943600" cy="6812852"/>
                    </a:xfrm>
                    <a:prstGeom prst="rect"/>
                  </pic:spPr>
                </pic:pic>
              </a:graphicData>
            </a:graphic>
          </wp:inline>
        </w:drawing>
      </w:r>
    </w:p>
    <w:p>
      <w:pPr>
        <w:spacing w:before="80" w:after="200"/>
        <w:jc w:val="center"/>
      </w:pPr>
      <w:r>
        <w:rPr>
          <w:rFonts w:ascii="Calibri" w:hAnsi="Calibri"/>
          <w:rFonts w:ascii="Calibri" w:hAnsi="Calibri"/>
          <w:i/>
          <w:color w:val="64748B"/>
          <w:sz w:val="17"/>
        </w:rPr>
        <w:t>Hình — 4: Visual Diagram SEQ-010</w:t>
      </w:r>
    </w:p>
    <w:p>
      <w:pPr>
        <w:pStyle w:val="Heading2"/>
      </w:pPr>
      <w:r>
        <w:rPr>
          <w:rFonts w:ascii="Calibri" w:hAnsi="Calibri"/>
          <w:rFonts w:ascii="Calibri" w:hAnsi="Calibri"/>
          <w:b/>
          <w:color w:val="1E293B"/>
          <w:sz w:val="22"/>
        </w:rPr>
        <w:t>Mã nguồn PlantUML (SEQ-010)</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SEQ-010 — AI sinh báo cáo lưu lượng</w:t>
              <w:br/>
              <w:t>hide footbox</w:t>
              <w:br/>
              <w:t>skinparam sequenceMessageAlign center</w:t>
              <w:br/>
              <w:t>skinparam responseMessageBelowArrow true</w:t>
              <w:br/>
              <w:t>participant "Quản lý" as P1</w:t>
              <w:br/>
              <w:t>participant "Giao diện" as P2</w:t>
              <w:br/>
              <w:t>participant "Dịch vụ AI" as P3</w:t>
              <w:br/>
              <w:t>participant "Dịch vụ thống kê" as P4</w:t>
              <w:br/>
              <w:t>participant "Nhà cung cấp AI" as P5</w:t>
              <w:br/>
              <w:br/>
              <w:t>alt Luồng chính thành công</w:t>
              <w:br/>
              <w:t>P1 -&gt; P2 : 1. Yêu cầu tạo báo cáo AI (ngày/tuần)</w:t>
              <w:br/>
              <w:t>P2 -&gt; P3 : 2. Gửi yêu cầu sinh báo cáo</w:t>
              <w:br/>
              <w:t>P3 -&gt; P4 : 3. Lấy dữ liệu lưu lượng &amp; khung giờ</w:t>
              <w:br/>
              <w:t>P4 ---&gt; P3 : 4. Trả về dữ liệu thống kê hợp lệ</w:t>
              <w:br/>
              <w:t>P3 -&gt; P5 : 5. Gửi prompt + ràng buộc không bịa số liệu</w:t>
              <w:br/>
              <w:t>P5 ---&gt; P3 : 6. Trả về nội dung văn bản báo cáo AI</w:t>
              <w:br/>
              <w:t>P3 ---&gt; P2 : 7. Kiểm tra định dạng &amp; đính kèm cảnh báo</w:t>
              <w:br/>
              <w:t>P2 ---&gt; P1 : 8. Hiển thị báo cáo AI kèm lưu ý kiểm chứng</w:t>
              <w:br/>
              <w:t>else Luồng thay thế A1 — Dữ liệu không đủ</w:t>
              <w:br/>
              <w:t>P4 ---&gt; P3 : A1.1: Báo không đủ dữ liệu thống kê</w:t>
              <w:br/>
              <w:t>P3 ---&gt; P2 : A1.2: Từ chối gọi AI, báo không đủ dữ liệu</w:t>
              <w:br/>
              <w:t>P2 ---&gt; P1 : A1.3: Thông báo không thể tạo báo cáo AI</w:t>
              <w:br/>
              <w:t>else Luồng thay thế A2 — Sai phạm vi ngày/tuần</w:t>
              <w:br/>
              <w:t>P3 ---&gt; P2 : A2.1: Báo phạm vi báo cáo không hỗ trợ</w:t>
              <w:br/>
              <w:t>P2 ---&gt; P1 : A2.2: Yêu cầu chọn phạm vi ngày hoặc tuần</w:t>
              <w:br/>
              <w:t>else Luồng ngoại lệ E1 — AI timeout/error</w:t>
              <w:br/>
              <w:t>P5 ---&gt; P3 : E1.1: Lỗi timeout / rate limit / 503</w:t>
              <w:br/>
              <w:t>P3 ---&gt; P2 : E1.2: Fallback báo lỗi AI, không bịa nội dung</w:t>
              <w:br/>
              <w:t>P2 ---&gt; P1 : E1.3: Báo lỗi AI không khả dụng, không tạo báo cáo</w:t>
              <w:br/>
              <w:t>else Luồng ngoại lệ E2 — Response AI rỗng/sai</w:t>
              <w:br/>
              <w:t>P5 ---&gt; P3 : E2.1: Response rỗng hoặc sai cấu trúc text</w:t>
              <w:br/>
              <w:t>P3 ---&gt; P2 : E2.2: Từ chối kết quả không hợp lệ</w:t>
              <w:br/>
              <w:t>P2 ---&gt; P1 : E2.3: Thông báo kết quả AI không hợp lệ</w:t>
              <w:br/>
              <w:t>end</w:t>
              <w:br/>
              <w:t>@enduml</w:t>
            </w:r>
          </w:p>
        </w:tc>
      </w:tr>
    </w:tbl>
    <w:p>
      <w:pPr>
        <w:spacing w:after="120"/>
      </w:pPr>
    </w:p>
    <w:p>
      <w:r>
        <w:br w:type="page"/>
      </w:r>
    </w:p>
    <w:p>
      <w:pPr>
        <w:pStyle w:val="Heading1"/>
      </w:pPr>
      <w:r>
        <w:rPr>
          <w:rFonts w:ascii="Calibri" w:hAnsi="Calibri"/>
          <w:rFonts w:ascii="Calibri" w:hAnsi="Calibri"/>
          <w:b/>
          <w:color w:val="0F172A"/>
          <w:sz w:val="26"/>
        </w:rPr>
        <w:t>5. Sơ đồ Chuyển trạng thái STD-001: Vị trí đỗ xe (State Machine Diagram)</w:t>
      </w:r>
    </w:p>
    <w:p>
      <w:pPr>
        <w:spacing w:after="120"/>
      </w:pPr>
      <w:r>
        <w:rPr>
          <w:rFonts w:ascii="Calibri" w:hAnsi="Calibri"/>
          <w:rFonts w:ascii="Calibri" w:hAnsi="Calibri"/>
          <w:i/>
          <w:color w:val="334155"/>
          <w:sz w:val="19"/>
        </w:rPr>
        <w:t>Mã sơ đồ: STD-001 | Vòng đời chuyển trạng thái của đối tượng ParkingSlot giữa Available (chỗ trống) và Occupied (đã đỗ) theo các sự kiện xe vào và xe ra.</w:t>
      </w:r>
    </w:p>
    <w:p>
      <w:r>
        <w:drawing>
          <wp:inline xmlns:a="http://schemas.openxmlformats.org/drawingml/2006/main" xmlns:pic="http://schemas.openxmlformats.org/drawingml/2006/picture">
            <wp:extent cx="5943600" cy="1981200"/>
            <wp:docPr id="5" name="Picture 5"/>
            <wp:cNvGraphicFramePr>
              <a:graphicFrameLocks noChangeAspect="1"/>
            </wp:cNvGraphicFramePr>
            <a:graphic>
              <a:graphicData uri="http://schemas.openxmlformats.org/drawingml/2006/picture">
                <pic:pic>
                  <pic:nvPicPr>
                    <pic:cNvPr id="0" name="state_machine_v2.png"/>
                    <pic:cNvPicPr/>
                  </pic:nvPicPr>
                  <pic:blipFill>
                    <a:blip r:embed="rId13"/>
                    <a:stretch>
                      <a:fillRect/>
                    </a:stretch>
                  </pic:blipFill>
                  <pic:spPr>
                    <a:xfrm>
                      <a:off x="0" y="0"/>
                      <a:ext cx="5943600" cy="1981200"/>
                    </a:xfrm>
                    <a:prstGeom prst="rect"/>
                  </pic:spPr>
                </pic:pic>
              </a:graphicData>
            </a:graphic>
          </wp:inline>
        </w:drawing>
      </w:r>
    </w:p>
    <w:p>
      <w:pPr>
        <w:spacing w:before="80" w:after="200"/>
        <w:jc w:val="center"/>
      </w:pPr>
      <w:r>
        <w:rPr>
          <w:rFonts w:ascii="Calibri" w:hAnsi="Calibri"/>
          <w:rFonts w:ascii="Calibri" w:hAnsi="Calibri"/>
          <w:i/>
          <w:color w:val="64748B"/>
          <w:sz w:val="17"/>
        </w:rPr>
        <w:t>Hình — 5: Visual Diagram STD-001</w:t>
      </w:r>
    </w:p>
    <w:p>
      <w:pPr>
        <w:pStyle w:val="Heading2"/>
      </w:pPr>
      <w:r>
        <w:rPr>
          <w:rFonts w:ascii="Calibri" w:hAnsi="Calibri"/>
          <w:rFonts w:ascii="Calibri" w:hAnsi="Calibri"/>
          <w:b/>
          <w:color w:val="1E293B"/>
          <w:sz w:val="22"/>
        </w:rPr>
        <w:t>Mã nguồn PlantUML (STD-001)</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STD-001 — Sơ đồ chuyển trạng thái Vị trí đỗ xe (ParkingSlot State Machine)</w:t>
              <w:br/>
              <w:br/>
              <w:t>[*] --&gt; Available : Khởi tạo vị trí đỗ</w:t>
              <w:br/>
              <w:br/>
              <w:t>Available --&gt; Occupied : Ghi nhận xe vào [FR-003] / slot.updateStatus(Occupied)</w:t>
              <w:br/>
              <w:t>Occupied --&gt; Available : Ghi nhận xe ra &amp; Phí [FR-004] / slot.updateStatus(Available)</w:t>
              <w:br/>
              <w:br/>
              <w:t>note right of Available</w:t>
              <w:br/>
              <w:t xml:space="preserve">  Vị trí đỗ xe đang trống,</w:t>
              <w:br/>
              <w:t xml:space="preserve">  sẵn sàng gán cho xe vào bãi</w:t>
              <w:br/>
              <w:t>end note</w:t>
              <w:br/>
              <w:br/>
              <w:t>note right of Occupied</w:t>
              <w:br/>
              <w:t xml:space="preserve">  Vị trí đỗ xe đã có phương tiện</w:t>
              <w:br/>
              <w:t xml:space="preserve">  gửi trong bãi</w:t>
              <w:br/>
              <w:t>end note</w:t>
              <w:br/>
              <w:t>@enduml</w:t>
            </w:r>
          </w:p>
        </w:tc>
      </w:tr>
    </w:tbl>
    <w:p>
      <w:pPr>
        <w:spacing w:after="120"/>
      </w:pPr>
    </w:p>
    <w:p>
      <w:r>
        <w:br w:type="page"/>
      </w:r>
    </w:p>
    <w:p>
      <w:pPr>
        <w:pStyle w:val="Heading1"/>
      </w:pPr>
      <w:r>
        <w:rPr>
          <w:rFonts w:ascii="Calibri" w:hAnsi="Calibri"/>
          <w:rFonts w:ascii="Calibri" w:hAnsi="Calibri"/>
          <w:b/>
          <w:color w:val="0F172A"/>
          <w:sz w:val="26"/>
        </w:rPr>
        <w:t>6. Sơ đồ Hoạt động ACTD-001: Tiến trình Lượt gửi xe vào/ra (Activity Diagram)</w:t>
      </w:r>
    </w:p>
    <w:p>
      <w:pPr>
        <w:spacing w:after="120"/>
      </w:pPr>
      <w:r>
        <w:rPr>
          <w:rFonts w:ascii="Calibri" w:hAnsi="Calibri"/>
          <w:rFonts w:ascii="Calibri" w:hAnsi="Calibri"/>
          <w:i/>
          <w:color w:val="334155"/>
          <w:sz w:val="19"/>
        </w:rPr>
        <w:t>Mã sơ đồ: ACTD-001 | Phân làn hoạt động giữa Nhân viên bãi xe và Hệ thống trong toàn bộ vòng đời lượt gửi xe từ quẹt thẻ vào đến tính phí xe ra.</w:t>
      </w:r>
    </w:p>
    <w:p>
      <w:r>
        <w:drawing>
          <wp:inline xmlns:a="http://schemas.openxmlformats.org/drawingml/2006/main" xmlns:pic="http://schemas.openxmlformats.org/drawingml/2006/picture">
            <wp:extent cx="5943600" cy="3770471"/>
            <wp:docPr id="6" name="Picture 6"/>
            <wp:cNvGraphicFramePr>
              <a:graphicFrameLocks noChangeAspect="1"/>
            </wp:cNvGraphicFramePr>
            <a:graphic>
              <a:graphicData uri="http://schemas.openxmlformats.org/drawingml/2006/picture">
                <pic:pic>
                  <pic:nvPicPr>
                    <pic:cNvPr id="0" name="act_05.png"/>
                    <pic:cNvPicPr/>
                  </pic:nvPicPr>
                  <pic:blipFill>
                    <a:blip r:embed="rId14"/>
                    <a:stretch>
                      <a:fillRect/>
                    </a:stretch>
                  </pic:blipFill>
                  <pic:spPr>
                    <a:xfrm>
                      <a:off x="0" y="0"/>
                      <a:ext cx="5943600" cy="3770471"/>
                    </a:xfrm>
                    <a:prstGeom prst="rect"/>
                  </pic:spPr>
                </pic:pic>
              </a:graphicData>
            </a:graphic>
          </wp:inline>
        </w:drawing>
      </w:r>
    </w:p>
    <w:p>
      <w:pPr>
        <w:spacing w:before="80" w:after="200"/>
        <w:jc w:val="center"/>
      </w:pPr>
      <w:r>
        <w:rPr>
          <w:rFonts w:ascii="Calibri" w:hAnsi="Calibri"/>
          <w:rFonts w:ascii="Calibri" w:hAnsi="Calibri"/>
          <w:i/>
          <w:color w:val="64748B"/>
          <w:sz w:val="17"/>
        </w:rPr>
        <w:t>Hình — 6: Visual Diagram ACTD-001</w:t>
      </w:r>
    </w:p>
    <w:p>
      <w:pPr>
        <w:pStyle w:val="Heading2"/>
      </w:pPr>
      <w:r>
        <w:rPr>
          <w:rFonts w:ascii="Calibri" w:hAnsi="Calibri"/>
          <w:rFonts w:ascii="Calibri" w:hAnsi="Calibri"/>
          <w:b/>
          <w:color w:val="1E293B"/>
          <w:sz w:val="22"/>
        </w:rPr>
        <w:t>Mã nguồn PlantUML (ACTD-001)</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5. Sơ đồ hoạt động của Ghi nhận xe ra và tính phí</w:t>
              <w:br/>
              <w:t>skinparam ActivityFontSize 13</w:t>
              <w:br/>
              <w:t>skinparam ActivityBorderColor #1E293B</w:t>
              <w:br/>
              <w:t>skinparam ActivityBackgroundColor #F8FAFC</w:t>
              <w:br/>
              <w:t>skinparam ActivityDiamondBorderColor #D97706</w:t>
              <w:br/>
              <w:t>skinparam ActivityDiamondBackgroundColor #FEF3C7</w:t>
              <w:br/>
              <w:br/>
              <w:t>|Nhân viên bãi xe|</w:t>
              <w:br/>
              <w:t>start</w:t>
              <w:br/>
              <w:t>:Quét thẻ vé / Nhập thông tin xe ra;</w:t>
              <w:br/>
              <w:br/>
              <w:t>|Hệ thống|</w:t>
              <w:br/>
              <w:t>:Tìm lượt xe vào tương ứng trong CSDL;</w:t>
              <w:br/>
              <w:t>if (Tìm thấy lượt vào &amp; Thời gian hợp lệ?) then ([Đúng])</w:t>
              <w:br/>
              <w:t xml:space="preserve">  :Tính phí gửi xe theo loại xe và thời gian;</w:t>
              <w:br/>
              <w:t xml:space="preserve">  |Nhân viên bãi xe|</w:t>
              <w:br/>
              <w:t xml:space="preserve">  :Thu tiền gửi xe &amp; Xác nhận thanh toán;</w:t>
              <w:br/>
              <w:t xml:space="preserve">  |Hệ thống|</w:t>
              <w:br/>
              <w:t xml:space="preserve">  :Ghi nhận xe ra &amp; Giải phóng vị trí đỗ CSDL;</w:t>
              <w:br/>
              <w:t xml:space="preserve">  |Nhân viên bãi xe|</w:t>
              <w:br/>
              <w:t xml:space="preserve">  :Mở barie cho xe rời bãi;</w:t>
              <w:br/>
              <w:t xml:space="preserve">  stop</w:t>
              <w:br/>
              <w:t>else ([Không tìm thấy / Lỗi phí])</w:t>
              <w:br/>
              <w:t xml:space="preserve">  |Nhân viên bãi xe|</w:t>
              <w:br/>
              <w:t xml:space="preserve">  :Thông báo không thể hoàn tất &amp; Xử lý thủ công;</w:t>
              <w:br/>
              <w:t xml:space="preserve">  stop</w:t>
              <w:br/>
              <w:t>endif</w:t>
              <w:br/>
              <w:t>@enduml</w:t>
            </w:r>
          </w:p>
        </w:tc>
      </w:tr>
    </w:tbl>
    <w:p>
      <w:pPr>
        <w:spacing w:after="120"/>
      </w:pPr>
    </w:p>
    <w:p>
      <w:r>
        <w:br w:type="page"/>
      </w:r>
    </w:p>
    <w:p>
      <w:pPr>
        <w:pStyle w:val="Heading1"/>
      </w:pPr>
      <w:r>
        <w:rPr>
          <w:rFonts w:ascii="Calibri" w:hAnsi="Calibri"/>
          <w:rFonts w:ascii="Calibri" w:hAnsi="Calibri"/>
          <w:b/>
          <w:color w:val="0F172A"/>
          <w:sz w:val="26"/>
        </w:rPr>
        <w:t>7. Sơ đồ Hoạt động ACTD-002: Tiến trình Tích hợp AI (Activity Diagram)</w:t>
      </w:r>
    </w:p>
    <w:p>
      <w:pPr>
        <w:spacing w:after="120"/>
      </w:pPr>
      <w:r>
        <w:rPr>
          <w:rFonts w:ascii="Calibri" w:hAnsi="Calibri"/>
          <w:rFonts w:ascii="Calibri" w:hAnsi="Calibri"/>
          <w:i/>
          <w:color w:val="334155"/>
          <w:sz w:val="19"/>
        </w:rPr>
        <w:t>Mã sơ đồ: ACTD-002 | Phân làn hoạt động giữa Quản lý, Hệ thống và Nhà cung cấp AI trong việc sinh báo cáo lưu lượng, giải đáp thắc mắc và gợi ý bố trí nhân sự.</w:t>
      </w:r>
    </w:p>
    <w:p>
      <w:r>
        <w:drawing>
          <wp:inline xmlns:a="http://schemas.openxmlformats.org/drawingml/2006/main" xmlns:pic="http://schemas.openxmlformats.org/drawingml/2006/picture">
            <wp:extent cx="5943600" cy="3770471"/>
            <wp:docPr id="7" name="Picture 7"/>
            <wp:cNvGraphicFramePr>
              <a:graphicFrameLocks noChangeAspect="1"/>
            </wp:cNvGraphicFramePr>
            <a:graphic>
              <a:graphicData uri="http://schemas.openxmlformats.org/drawingml/2006/picture">
                <pic:pic>
                  <pic:nvPicPr>
                    <pic:cNvPr id="0" name="act_10.png"/>
                    <pic:cNvPicPr/>
                  </pic:nvPicPr>
                  <pic:blipFill>
                    <a:blip r:embed="rId15"/>
                    <a:stretch>
                      <a:fillRect/>
                    </a:stretch>
                  </pic:blipFill>
                  <pic:spPr>
                    <a:xfrm>
                      <a:off x="0" y="0"/>
                      <a:ext cx="5943600" cy="3770471"/>
                    </a:xfrm>
                    <a:prstGeom prst="rect"/>
                  </pic:spPr>
                </pic:pic>
              </a:graphicData>
            </a:graphic>
          </wp:inline>
        </w:drawing>
      </w:r>
    </w:p>
    <w:p>
      <w:pPr>
        <w:spacing w:before="80" w:after="200"/>
        <w:jc w:val="center"/>
      </w:pPr>
      <w:r>
        <w:rPr>
          <w:rFonts w:ascii="Calibri" w:hAnsi="Calibri"/>
          <w:rFonts w:ascii="Calibri" w:hAnsi="Calibri"/>
          <w:i/>
          <w:color w:val="64748B"/>
          <w:sz w:val="17"/>
        </w:rPr>
        <w:t>Hình — 7: Visual Diagram ACTD-002</w:t>
      </w:r>
    </w:p>
    <w:p>
      <w:pPr>
        <w:pStyle w:val="Heading2"/>
      </w:pPr>
      <w:r>
        <w:rPr>
          <w:rFonts w:ascii="Calibri" w:hAnsi="Calibri"/>
          <w:rFonts w:ascii="Calibri" w:hAnsi="Calibri"/>
          <w:b/>
          <w:color w:val="1E293B"/>
          <w:sz w:val="22"/>
        </w:rPr>
        <w:t>Mã nguồn PlantUML (ACTD-002)</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10. Sơ đồ hoạt động của AI sinh báo cáo lưu lượng</w:t>
              <w:br/>
              <w:t>skinparam ActivityFontSize 13</w:t>
              <w:br/>
              <w:t>skinparam ActivityBorderColor #1E293B</w:t>
              <w:br/>
              <w:t>skinparam ActivityBackgroundColor #F8FAFC</w:t>
              <w:br/>
              <w:t>skinparam ActivityDiamondBorderColor #D97706</w:t>
              <w:br/>
              <w:t>skinparam ActivityDiamondBackgroundColor #FEF3C7</w:t>
              <w:br/>
              <w:br/>
              <w:t>|Quản lý|</w:t>
              <w:br/>
              <w:t>start</w:t>
              <w:br/>
              <w:t>:Yêu cầu tạo báo cáo AI (ngày hoặc tuần);</w:t>
              <w:br/>
              <w:br/>
              <w:t>|Hệ thống|</w:t>
              <w:br/>
              <w:t>:Lấy dữ liệu thống kê &amp; Xây dựng prompt guardrails;</w:t>
              <w:br/>
              <w:t>if (Đủ dữ liệu thống kê?) then ([Đúng])</w:t>
              <w:br/>
              <w:t xml:space="preserve">  |Nhà cung cấp AI|</w:t>
              <w:br/>
              <w:t xml:space="preserve">  :Xử lý mô hình ngôn ngữ &amp; Trả về văn bản báo cáo;</w:t>
              <w:br/>
              <w:t xml:space="preserve">  |Hệ thống|</w:t>
              <w:br/>
              <w:t xml:space="preserve">  if (Response AI đúng định dạng?) then ([Đúng])</w:t>
              <w:br/>
              <w:t xml:space="preserve">    :Đính kèm cảnh báo kiểm chứng &amp; Hiển thị báo cáo;</w:t>
              <w:br/>
              <w:t xml:space="preserve">    |Quản lý|</w:t>
              <w:br/>
              <w:t xml:space="preserve">    :Xem báo cáo AI &amp; tự kiểm chứng số liệu;</w:t>
              <w:br/>
              <w:t xml:space="preserve">    stop</w:t>
              <w:br/>
              <w:t xml:space="preserve">  else ([Lỗi Format / Rỗng])</w:t>
              <w:br/>
              <w:t xml:space="preserve">    |Quản lý|</w:t>
              <w:br/>
              <w:t xml:space="preserve">    :Thông báo kết quả AI không hợp lệ;</w:t>
              <w:br/>
              <w:t xml:space="preserve">    stop</w:t>
              <w:br/>
              <w:t xml:space="preserve">  endif</w:t>
              <w:br/>
              <w:t>else ([Thiếu dữ liệu / Lỗi AI])</w:t>
              <w:br/>
              <w:t xml:space="preserve">  |Quản lý|</w:t>
              <w:br/>
              <w:t xml:space="preserve">  :Thông báo không thể tạo báo cáo AI;</w:t>
              <w:br/>
              <w:t xml:space="preserve">  stop</w:t>
              <w:br/>
              <w:t>endif</w:t>
              <w:br/>
              <w:t>@enduml</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