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bookmarkStart w:id="0" w:name="_GoBack"/>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bookmarkEnd w:id="0"/>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A724FA">
        <w:rPr>
          <w:rFonts w:eastAsia="MS Mincho" w:hint="eastAsia"/>
          <w:lang w:eastAsia="ja-JP"/>
        </w:rPr>
        <w:t>genetic</w:t>
      </w:r>
      <w:r w:rsidR="0040733F" w:rsidRPr="00A9269C">
        <w:rPr>
          <w:rFonts w:eastAsia="MS Mincho" w:hint="eastAsia"/>
          <w:lang w:eastAsia="ja-JP"/>
        </w:rPr>
        <w:t xml:space="preserve">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MS Mincho"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MS Mincho"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MS Mincho" w:hint="eastAsia"/>
          <w:lang w:eastAsia="ja-JP"/>
        </w:rPr>
        <w:t>Genet</w:t>
      </w:r>
      <w:r w:rsidR="00E123D3" w:rsidRPr="00A9269C">
        <w:rPr>
          <w:rFonts w:eastAsia="MS Mincho"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MS Mincho"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w:t>
      </w:r>
      <w:r>
        <w:lastRenderedPageBreak/>
        <w:t xml:space="preserve">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MS Mincho"/>
          <w:lang w:eastAsia="ja-JP"/>
        </w:rPr>
      </w:pPr>
      <w:r>
        <w:t xml:space="preserve">In [25], </w:t>
      </w:r>
      <w:proofErr w:type="spellStart"/>
      <w:r>
        <w:t>Srivastava</w:t>
      </w:r>
      <w:proofErr w:type="spellEnd"/>
      <w:r>
        <w:t xml:space="preserve">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w:t>
      </w:r>
      <w:r>
        <w:lastRenderedPageBreak/>
        <w:t>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FD4163"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MS Mincho" w:hint="eastAsia"/>
          <w:lang w:eastAsia="ja-JP"/>
        </w:rPr>
        <w:t>Apply proposed approach to</w:t>
      </w:r>
      <w:r w:rsidR="00A655CC" w:rsidRPr="00A655CC">
        <w:rPr>
          <w:rFonts w:eastAsia="MS Mincho"/>
          <w:lang w:eastAsia="ja-JP"/>
        </w:rPr>
        <w:t xml:space="preserve"> triangle classifier</w:t>
      </w:r>
      <w:r w:rsidR="00236B98">
        <w:rPr>
          <w:rFonts w:eastAsia="MS Mincho"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lastRenderedPageBreak/>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E617EE">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741165" w:rsidRPr="0029136B" w:rsidRDefault="0054229C" w:rsidP="004D32FD">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85124" w:rsidRDefault="00B85124" w:rsidP="00E617EE">
      <w:pPr>
        <w:spacing w:line="223" w:lineRule="auto"/>
        <w:ind w:firstLine="284"/>
        <w:jc w:val="both"/>
      </w:pPr>
    </w:p>
    <w:p w:rsidR="00741165" w:rsidRPr="0029136B" w:rsidRDefault="00741165" w:rsidP="00E617EE">
      <w:pPr>
        <w:spacing w:line="223" w:lineRule="auto"/>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lastRenderedPageBreak/>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MS Mincho"/>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lastRenderedPageBreak/>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lastRenderedPageBreak/>
        <w:t>Srivastava P. R and Kim T, Application of Genetic Algorithm in Software Testing, International Journal of Software Engineering and Its Applications, 3(4), 87-96, 2009.</w:t>
      </w:r>
    </w:p>
    <w:p w:rsidR="002F60E5" w:rsidRDefault="00375454" w:rsidP="00DF3F27">
      <w:pPr>
        <w:pStyle w:val="references"/>
      </w:pPr>
      <w:r w:rsidRPr="00375454">
        <w:lastRenderedPageBreak/>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13E29"/>
    <w:rsid w:val="00015419"/>
    <w:rsid w:val="0002608E"/>
    <w:rsid w:val="00032AB2"/>
    <w:rsid w:val="00047222"/>
    <w:rsid w:val="0004781E"/>
    <w:rsid w:val="00055644"/>
    <w:rsid w:val="00061411"/>
    <w:rsid w:val="00065CE6"/>
    <w:rsid w:val="00067175"/>
    <w:rsid w:val="00067753"/>
    <w:rsid w:val="000721CA"/>
    <w:rsid w:val="00075FD5"/>
    <w:rsid w:val="00082AFA"/>
    <w:rsid w:val="00092DCD"/>
    <w:rsid w:val="0009396B"/>
    <w:rsid w:val="000A052B"/>
    <w:rsid w:val="000A305E"/>
    <w:rsid w:val="000A3C2A"/>
    <w:rsid w:val="000B47E4"/>
    <w:rsid w:val="000B76BD"/>
    <w:rsid w:val="000C015B"/>
    <w:rsid w:val="000C1769"/>
    <w:rsid w:val="000C1E68"/>
    <w:rsid w:val="000C3892"/>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190E"/>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54F8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32FD"/>
    <w:rsid w:val="004D72B5"/>
    <w:rsid w:val="004E4F13"/>
    <w:rsid w:val="004E7532"/>
    <w:rsid w:val="0050176C"/>
    <w:rsid w:val="00501A0A"/>
    <w:rsid w:val="005035BA"/>
    <w:rsid w:val="00506A17"/>
    <w:rsid w:val="005129D1"/>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419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0B3"/>
    <w:rsid w:val="008B31A2"/>
    <w:rsid w:val="008B3F28"/>
    <w:rsid w:val="008C4B23"/>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54EBB"/>
    <w:rsid w:val="009563FB"/>
    <w:rsid w:val="00960E45"/>
    <w:rsid w:val="00964BF1"/>
    <w:rsid w:val="00965AC4"/>
    <w:rsid w:val="00965CE7"/>
    <w:rsid w:val="00966519"/>
    <w:rsid w:val="00972203"/>
    <w:rsid w:val="0097304B"/>
    <w:rsid w:val="009821ED"/>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4E7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4BEC"/>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5124"/>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F1DA2"/>
    <w:rsid w:val="00DF2EDB"/>
    <w:rsid w:val="00DF3F27"/>
    <w:rsid w:val="00E123D3"/>
    <w:rsid w:val="00E2100B"/>
    <w:rsid w:val="00E21C69"/>
    <w:rsid w:val="00E3084F"/>
    <w:rsid w:val="00E369AB"/>
    <w:rsid w:val="00E51CC2"/>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F6F3B-53AF-4AD6-97AB-2F8AF80A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465</cp:revision>
  <cp:lastPrinted>2016-08-22T14:52:00Z</cp:lastPrinted>
  <dcterms:created xsi:type="dcterms:W3CDTF">2016-06-23T06:59:00Z</dcterms:created>
  <dcterms:modified xsi:type="dcterms:W3CDTF">2016-08-27T15:35:00Z</dcterms:modified>
</cp:coreProperties>
</file>