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TDG approaches. As the value of input variables is assigned when</w:t>
      </w:r>
      <w:r w:rsidR="00200BAA">
        <w:rPr>
          <w:color w:val="131413"/>
        </w:rPr>
        <w:t xml:space="preserve"> a</w:t>
      </w:r>
      <w:r w:rsidRPr="00724785">
        <w:rPr>
          <w:color w:val="131413"/>
        </w:rPr>
        <w:t xml:space="preserve">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 xml:space="preserve">ptimization (PSO) [6, 7, 8]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PUTs </w:t>
      </w:r>
      <w:r w:rsidR="006E77D4">
        <w:rPr>
          <w:rFonts w:eastAsia="Arial Unicode MS"/>
        </w:rPr>
        <w:t>are not</w:t>
      </w:r>
      <w:r w:rsidRPr="00112BDF">
        <w:rPr>
          <w:rFonts w:eastAsia="Arial Unicode MS"/>
        </w:rPr>
        <w:t xml:space="preserve">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PSO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lastRenderedPageBreak/>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a PSO-</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CFG</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CFG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r w:rsidRPr="00383A48">
        <w:lastRenderedPageBreak/>
        <w:t>complicated and difficult than from contro</w:t>
      </w:r>
      <w:r>
        <w:rPr>
          <w:rFonts w:eastAsiaTheme="minorEastAsia" w:hint="eastAsia"/>
          <w:lang w:eastAsia="ja-JP"/>
        </w:rPr>
        <w:t xml:space="preserve">l </w:t>
      </w:r>
      <w:r w:rsidRPr="00383A48">
        <w:t xml:space="preserve">flow graph (CFG). CFG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lastRenderedPageBreak/>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Also we show our approach is better than state-of-the-art constraint-based test data generator Symbolic PathFinder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e, taking advantage of the fast convergence of PSO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i3 with 2.4 GHz and 4 GB memory. Our proposal </w:t>
      </w:r>
      <w:r w:rsidR="007F30C3" w:rsidRPr="001C28B0">
        <w:rPr>
          <w:sz w:val="22"/>
          <w:szCs w:val="22"/>
        </w:rPr>
        <w:t>was</w:t>
      </w:r>
      <w:r w:rsidR="0097274F" w:rsidRPr="001C28B0">
        <w:rPr>
          <w:sz w:val="22"/>
          <w:szCs w:val="22"/>
        </w:rPr>
        <w:t xml:space="preserve"> implemented in Java and run on the platform of JDK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r w:rsidRPr="001C28B0">
              <w:rPr>
                <w:sz w:val="22"/>
                <w:szCs w:val="22"/>
              </w:rPr>
              <w:t xml:space="preserve">triangleType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calDay</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computeTax</w:t>
            </w:r>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bessj</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printCalendar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4 PUTs (</w:t>
      </w:r>
      <w:r w:rsidR="00A3061E" w:rsidRPr="001C28B0">
        <w:rPr>
          <w:sz w:val="22"/>
          <w:szCs w:val="22"/>
        </w:rPr>
        <w:t>triangleType,</w:t>
      </w:r>
      <w:r w:rsidR="00082189" w:rsidRPr="001C28B0">
        <w:rPr>
          <w:sz w:val="22"/>
          <w:szCs w:val="22"/>
        </w:rPr>
        <w:t xml:space="preserve"> </w:t>
      </w:r>
      <w:r w:rsidR="00AE0403" w:rsidRPr="001C28B0">
        <w:rPr>
          <w:sz w:val="22"/>
          <w:szCs w:val="22"/>
        </w:rPr>
        <w:t xml:space="preserve">computeTax, printCalendar,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PSO, it ensures that every time the </w:t>
      </w:r>
      <w:r w:rsidRPr="001C28B0">
        <w:rPr>
          <w:rFonts w:hint="eastAsia"/>
          <w:sz w:val="22"/>
          <w:szCs w:val="22"/>
        </w:rPr>
        <w:t>M</w:t>
      </w:r>
      <w:r w:rsidRPr="001C28B0">
        <w:rPr>
          <w:sz w:val="22"/>
          <w:szCs w:val="22"/>
        </w:rPr>
        <w:t>PSO is run, each PSO can generate test data which can cover the test path it is assigned to.</w:t>
      </w:r>
      <w:r w:rsidR="00082189" w:rsidRPr="001C28B0">
        <w:rPr>
          <w:sz w:val="22"/>
          <w:szCs w:val="22"/>
        </w:rPr>
        <w:t xml:space="preserve"> Also with the remaining 4 PUTs (calDay, cal, reminder, </w:t>
      </w:r>
      <w:r w:rsidR="00082189" w:rsidRPr="001C28B0">
        <w:rPr>
          <w:sz w:val="22"/>
          <w:szCs w:val="22"/>
        </w:rPr>
        <w:lastRenderedPageBreak/>
        <w:t xml:space="preserve">bessj),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C93BBF"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Compare to constraint-based test data approach</w:t>
      </w:r>
    </w:p>
    <w:p w:rsidR="006109EF" w:rsidRPr="00FB788A" w:rsidRDefault="00EE5213" w:rsidP="00927A9A">
      <w:pPr>
        <w:ind w:firstLine="346"/>
        <w:jc w:val="both"/>
        <w:rPr>
          <w:sz w:val="22"/>
          <w:szCs w:val="22"/>
          <w:highlight w:val="yellow"/>
          <w:lang w:eastAsia="ja-JP"/>
        </w:rPr>
      </w:pPr>
      <w:r w:rsidRPr="00C93BBF">
        <w:rPr>
          <w:sz w:val="22"/>
          <w:szCs w:val="22"/>
          <w:highlight w:val="yellow"/>
          <w:lang w:eastAsia="ja-JP"/>
        </w:rPr>
        <w:t>In this section we will point out our advancement of the constraint-based test of data generation approaches when generating test data for the given program that contains native function calls. We compare to Symbolic PathFinder [21],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sz w:val="18"/>
          <w:szCs w:val="18"/>
          <w:highlight w:val="yellow"/>
          <w:lang w:eastAsia="ja-JP"/>
        </w:rPr>
        <w:t>int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int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if ((x + y + Math.sin(x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ret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r</w:t>
      </w:r>
      <w:r w:rsidRPr="00FB788A">
        <w:rPr>
          <w:rFonts w:ascii="Courier New" w:hAnsi="Courier New" w:cs="Courier New"/>
          <w:sz w:val="18"/>
          <w:szCs w:val="18"/>
          <w:highlight w:val="yellow"/>
          <w:lang w:eastAsia="ja-JP"/>
        </w:rPr>
        <w:t>eturn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Default="005744CC" w:rsidP="00CE3DA0">
      <w:pPr>
        <w:jc w:val="both"/>
        <w:rPr>
          <w:rFonts w:hint="eastAsia"/>
          <w:color w:val="FF0000"/>
          <w:sz w:val="22"/>
          <w:szCs w:val="22"/>
          <w:lang w:eastAsia="ja-JP"/>
        </w:rPr>
      </w:pPr>
      <w:r w:rsidRPr="00126680">
        <w:rPr>
          <w:rFonts w:hint="eastAsia"/>
          <w:color w:val="FF0000"/>
          <w:sz w:val="22"/>
          <w:szCs w:val="22"/>
          <w:highlight w:val="yellow"/>
          <w:lang w:eastAsia="ja-JP"/>
        </w:rPr>
        <w:t xml:space="preserve">Bởi vì sự hạn chế </w:t>
      </w:r>
      <w:r w:rsidRPr="00126680">
        <w:rPr>
          <w:rFonts w:hint="eastAsia"/>
          <w:color w:val="FF0000"/>
          <w:sz w:val="22"/>
          <w:szCs w:val="22"/>
          <w:lang w:eastAsia="ja-JP"/>
        </w:rPr>
        <w:t xml:space="preserve">của </w:t>
      </w:r>
      <w:r w:rsidR="00D90C57">
        <w:rPr>
          <w:rFonts w:hint="eastAsia"/>
          <w:color w:val="FF0000"/>
          <w:sz w:val="22"/>
          <w:szCs w:val="22"/>
          <w:lang w:eastAsia="ja-JP"/>
        </w:rPr>
        <w:t xml:space="preserve">mình, </w:t>
      </w:r>
      <w:r w:rsidRPr="00126680">
        <w:rPr>
          <w:rFonts w:hint="eastAsia"/>
          <w:color w:val="FF0000"/>
          <w:sz w:val="22"/>
          <w:szCs w:val="22"/>
          <w:lang w:eastAsia="ja-JP"/>
        </w:rPr>
        <w:t>các constraint solvers được sử dụng trong S</w:t>
      </w:r>
      <w:r w:rsidRPr="00126680">
        <w:rPr>
          <w:color w:val="FF0000"/>
          <w:sz w:val="22"/>
          <w:szCs w:val="22"/>
          <w:highlight w:val="yellow"/>
          <w:lang w:eastAsia="ja-JP"/>
        </w:rPr>
        <w:t>ymbolic PathFinder</w:t>
      </w:r>
      <w:r w:rsidR="00D90C57">
        <w:rPr>
          <w:rFonts w:hint="eastAsia"/>
          <w:color w:val="FF0000"/>
          <w:sz w:val="22"/>
          <w:szCs w:val="22"/>
          <w:lang w:eastAsia="ja-JP"/>
        </w:rPr>
        <w:t xml:space="preserve"> sẽ ko giải </w:t>
      </w:r>
      <w:r w:rsidR="00CE3DA0">
        <w:rPr>
          <w:rFonts w:hint="eastAsia"/>
          <w:color w:val="FF0000"/>
          <w:sz w:val="22"/>
          <w:szCs w:val="22"/>
          <w:lang w:eastAsia="ja-JP"/>
        </w:rPr>
        <w:t xml:space="preserve">được điều kiện </w:t>
      </w:r>
      <w:r w:rsidR="00945BE8">
        <w:rPr>
          <w:rFonts w:ascii="Courier New" w:hAnsi="Courier New" w:cs="Courier New"/>
          <w:sz w:val="18"/>
          <w:szCs w:val="18"/>
          <w:highlight w:val="yellow"/>
          <w:lang w:eastAsia="ja-JP"/>
        </w:rPr>
        <w:t>(</w:t>
      </w:r>
      <w:r w:rsidR="00CE3DA0">
        <w:rPr>
          <w:rFonts w:ascii="Courier New" w:hAnsi="Courier New" w:cs="Courier New"/>
          <w:sz w:val="18"/>
          <w:szCs w:val="18"/>
          <w:highlight w:val="yellow"/>
          <w:lang w:eastAsia="ja-JP"/>
        </w:rPr>
        <w:t xml:space="preserve">(x + y + Math.sin(x + y)) </w:t>
      </w:r>
      <w:r w:rsidR="00CE3DA0" w:rsidRPr="00FB788A">
        <w:rPr>
          <w:rFonts w:ascii="Courier New" w:hAnsi="Courier New" w:cs="Courier New"/>
          <w:sz w:val="18"/>
          <w:szCs w:val="18"/>
          <w:highlight w:val="yellow"/>
          <w:lang w:eastAsia="ja-JP"/>
        </w:rPr>
        <w:t>== 10)</w:t>
      </w:r>
      <w:r w:rsidR="00575E39" w:rsidRPr="00126680">
        <w:rPr>
          <w:rFonts w:hint="eastAsia"/>
          <w:color w:val="FF0000"/>
          <w:sz w:val="22"/>
          <w:szCs w:val="22"/>
          <w:lang w:eastAsia="ja-JP"/>
        </w:rPr>
        <w:t xml:space="preserve">, </w:t>
      </w:r>
      <w:r w:rsidR="007430FB">
        <w:rPr>
          <w:rFonts w:hint="eastAsia"/>
          <w:color w:val="FF0000"/>
          <w:sz w:val="22"/>
          <w:szCs w:val="22"/>
          <w:lang w:eastAsia="ja-JP"/>
        </w:rPr>
        <w:t xml:space="preserve">vì trong điều kiện này có chứa đến lời gọi native function </w:t>
      </w:r>
      <w:r w:rsidR="007430FB">
        <w:rPr>
          <w:rFonts w:ascii="Courier New" w:hAnsi="Courier New" w:cs="Courier New"/>
          <w:sz w:val="18"/>
          <w:szCs w:val="18"/>
          <w:highlight w:val="yellow"/>
          <w:lang w:eastAsia="ja-JP"/>
        </w:rPr>
        <w:t>Math.sin(x + y)</w:t>
      </w:r>
      <w:r w:rsidR="007430FB">
        <w:rPr>
          <w:rFonts w:ascii="Courier New" w:hAnsi="Courier New" w:cs="Courier New" w:hint="eastAsia"/>
          <w:sz w:val="18"/>
          <w:szCs w:val="18"/>
          <w:lang w:eastAsia="ja-JP"/>
        </w:rPr>
        <w:t xml:space="preserve"> </w:t>
      </w:r>
      <w:r w:rsidR="007430FB">
        <w:rPr>
          <w:rFonts w:hint="eastAsia"/>
          <w:color w:val="FF0000"/>
          <w:sz w:val="22"/>
          <w:szCs w:val="22"/>
          <w:lang w:eastAsia="ja-JP"/>
        </w:rPr>
        <w:t xml:space="preserve">của ngôn ngữ Java </w:t>
      </w:r>
      <w:r w:rsidR="00575E39" w:rsidRPr="00126680">
        <w:rPr>
          <w:rFonts w:hint="eastAsia"/>
          <w:color w:val="FF0000"/>
          <w:sz w:val="22"/>
          <w:szCs w:val="22"/>
          <w:lang w:eastAsia="ja-JP"/>
        </w:rPr>
        <w:t xml:space="preserve">nên nó không thể sinh được </w:t>
      </w:r>
      <w:r w:rsidR="00D90C57">
        <w:rPr>
          <w:rFonts w:hint="eastAsia"/>
          <w:color w:val="FF0000"/>
          <w:sz w:val="22"/>
          <w:szCs w:val="22"/>
          <w:lang w:eastAsia="ja-JP"/>
        </w:rPr>
        <w:t xml:space="preserve">test data mà có thể phủ được </w:t>
      </w:r>
      <w:r w:rsidR="007430FB" w:rsidRPr="00FB788A">
        <w:rPr>
          <w:rFonts w:ascii="Courier New" w:hAnsi="Courier New" w:cs="Courier New"/>
          <w:sz w:val="18"/>
          <w:szCs w:val="18"/>
          <w:highlight w:val="yellow"/>
          <w:lang w:eastAsia="ja-JP"/>
        </w:rPr>
        <w:t>// branch 1</w:t>
      </w:r>
      <w:r w:rsidR="007430FB" w:rsidRPr="001C28B0">
        <w:rPr>
          <w:sz w:val="22"/>
          <w:szCs w:val="22"/>
        </w:rPr>
        <w:t>.</w:t>
      </w:r>
    </w:p>
    <w:p w:rsidR="00CE3DA0" w:rsidRPr="00CE3DA0" w:rsidRDefault="00CE3DA0" w:rsidP="00CE3DA0">
      <w:pPr>
        <w:jc w:val="both"/>
        <w:rPr>
          <w:rFonts w:ascii="Courier New" w:hAnsi="Courier New" w:cs="Courier New" w:hint="eastAsia"/>
          <w:sz w:val="22"/>
          <w:szCs w:val="22"/>
          <w:highlight w:val="yellow"/>
          <w:lang w:eastAsia="ja-JP"/>
        </w:rPr>
      </w:pPr>
      <w:r w:rsidRPr="00CE3DA0">
        <w:rPr>
          <w:rFonts w:hint="eastAsia"/>
          <w:color w:val="FF0000"/>
          <w:sz w:val="22"/>
          <w:szCs w:val="22"/>
          <w:lang w:eastAsia="ja-JP"/>
        </w:rPr>
        <w:t xml:space="preserve">Ngược lại, với cách tiếp cận </w:t>
      </w:r>
      <w:r w:rsidRPr="00CE3DA0">
        <w:rPr>
          <w:color w:val="131413"/>
          <w:sz w:val="22"/>
          <w:szCs w:val="22"/>
        </w:rPr>
        <w:t>search-based test data generation</w:t>
      </w:r>
      <w:r w:rsidR="0031262E">
        <w:rPr>
          <w:rFonts w:hint="eastAsia"/>
          <w:color w:val="131413"/>
          <w:sz w:val="22"/>
          <w:szCs w:val="22"/>
          <w:lang w:eastAsia="ja-JP"/>
        </w:rPr>
        <w:t>, với điều kiệ</w:t>
      </w:r>
      <w:r w:rsidR="00E16FDC">
        <w:rPr>
          <w:rFonts w:hint="eastAsia"/>
          <w:color w:val="131413"/>
          <w:sz w:val="22"/>
          <w:szCs w:val="22"/>
          <w:lang w:eastAsia="ja-JP"/>
        </w:rPr>
        <w:t>n</w:t>
      </w:r>
      <w:r w:rsidR="00945BE8">
        <w:rPr>
          <w:rFonts w:hint="eastAsia"/>
          <w:color w:val="131413"/>
          <w:sz w:val="22"/>
          <w:szCs w:val="22"/>
          <w:lang w:eastAsia="ja-JP"/>
        </w:rPr>
        <w:t xml:space="preserve"> </w:t>
      </w:r>
      <w:r w:rsidR="00945BE8">
        <w:rPr>
          <w:rFonts w:ascii="Courier New" w:hAnsi="Courier New" w:cs="Courier New"/>
          <w:sz w:val="18"/>
          <w:szCs w:val="18"/>
          <w:highlight w:val="yellow"/>
          <w:lang w:eastAsia="ja-JP"/>
        </w:rPr>
        <w:t xml:space="preserve">((x + y + Math.sin(x + y)) </w:t>
      </w:r>
      <w:r w:rsidR="00945BE8" w:rsidRPr="00FB788A">
        <w:rPr>
          <w:rFonts w:ascii="Courier New" w:hAnsi="Courier New" w:cs="Courier New"/>
          <w:sz w:val="18"/>
          <w:szCs w:val="18"/>
          <w:highlight w:val="yellow"/>
          <w:lang w:eastAsia="ja-JP"/>
        </w:rPr>
        <w:t>== 10)</w:t>
      </w:r>
      <w:r w:rsidR="00E16FDC">
        <w:rPr>
          <w:rFonts w:hint="eastAsia"/>
          <w:color w:val="131413"/>
          <w:sz w:val="22"/>
          <w:szCs w:val="22"/>
          <w:lang w:eastAsia="ja-JP"/>
        </w:rPr>
        <w:t>, áp dụng công thứ</w:t>
      </w:r>
      <w:r w:rsidR="000B5B1C">
        <w:rPr>
          <w:rFonts w:hint="eastAsia"/>
          <w:color w:val="131413"/>
          <w:sz w:val="22"/>
          <w:szCs w:val="22"/>
          <w:lang w:eastAsia="ja-JP"/>
        </w:rPr>
        <w:t>c. Sau đó dùng PSO để sinh test data thỏa mãn điều kiện này, chúng ta có kết quả như sau:</w:t>
      </w:r>
      <w:bookmarkStart w:id="0" w:name="_GoBack"/>
      <w:bookmarkEnd w:id="0"/>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PSO approach for evolutionary structural testing. We </w:t>
      </w:r>
      <w:r w:rsidRPr="001C28B0">
        <w:rPr>
          <w:sz w:val="22"/>
          <w:szCs w:val="22"/>
        </w:rPr>
        <w:lastRenderedPageBreak/>
        <w:t>proposed a method which uses a fitness function for each test path of a PUT, and then execute</w:t>
      </w:r>
      <w:r w:rsidR="007F30C3" w:rsidRPr="001C28B0">
        <w:rPr>
          <w:sz w:val="22"/>
          <w:szCs w:val="22"/>
        </w:rPr>
        <w:t>d</w:t>
      </w:r>
      <w:r w:rsidRPr="001C28B0">
        <w:rPr>
          <w:sz w:val="22"/>
          <w:szCs w:val="22"/>
        </w:rPr>
        <w:t xml:space="preserve"> those PSOs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PSO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UTs, such as PUTs which contain calls to other native functions or PUTs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 xml:space="preserve">C.Mao, “Generating Test Data for Software Structural Testing Based on Particle Swarm </w:t>
      </w:r>
      <w:r>
        <w:lastRenderedPageBreak/>
        <w:t>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 xml:space="preserve">C. S. Pasareanu, W. Visser, D. Bushnell, J. Geldenhuys, P. Mehlitz, N. Rungta, “Symbolic PathFinder: Integrating Symbolic Execution </w:t>
      </w:r>
      <w:r>
        <w:lastRenderedPageBreak/>
        <w:t>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lastRenderedPageBreak/>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E72" w:rsidRDefault="000C0E72">
      <w:r>
        <w:separator/>
      </w:r>
    </w:p>
  </w:endnote>
  <w:endnote w:type="continuationSeparator" w:id="0">
    <w:p w:rsidR="000C0E72" w:rsidRDefault="000C0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E72" w:rsidRDefault="000C0E72">
      <w:pPr>
        <w:rPr>
          <w:lang w:eastAsia="ja-JP"/>
        </w:rPr>
      </w:pPr>
    </w:p>
  </w:footnote>
  <w:footnote w:type="continuationSeparator" w:id="0">
    <w:p w:rsidR="000C0E72" w:rsidRDefault="000C0E72">
      <w:r>
        <w:continuationSeparator/>
      </w:r>
    </w:p>
  </w:footnote>
  <w:footnote w:id="1">
    <w:p w:rsidR="00D90C57" w:rsidRDefault="00D90C57">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0B5B1C">
      <w:rPr>
        <w:rStyle w:val="PageNumber"/>
        <w:noProof/>
        <w:sz w:val="18"/>
        <w:szCs w:val="18"/>
      </w:rPr>
      <w:t>10</w:t>
    </w:r>
    <w:r w:rsidRPr="00542BA0">
      <w:rPr>
        <w:rStyle w:val="PageNumber"/>
        <w:sz w:val="18"/>
        <w:szCs w:val="18"/>
      </w:rPr>
      <w:fldChar w:fldCharType="end"/>
    </w:r>
  </w:p>
  <w:p w:rsidR="00D90C57" w:rsidRDefault="00D90C57"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B5B1C"/>
    <w:rsid w:val="000C0E72"/>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B0C02"/>
    <w:rsid w:val="001C28B0"/>
    <w:rsid w:val="001C3004"/>
    <w:rsid w:val="001D1FC5"/>
    <w:rsid w:val="001D7544"/>
    <w:rsid w:val="001D7654"/>
    <w:rsid w:val="001F2454"/>
    <w:rsid w:val="001F2D18"/>
    <w:rsid w:val="001F37C2"/>
    <w:rsid w:val="001F5588"/>
    <w:rsid w:val="00200BAA"/>
    <w:rsid w:val="002113B7"/>
    <w:rsid w:val="00215D2B"/>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6220"/>
    <w:rsid w:val="004C7ED5"/>
    <w:rsid w:val="004D092C"/>
    <w:rsid w:val="004D7EBE"/>
    <w:rsid w:val="004E7E38"/>
    <w:rsid w:val="004F2C27"/>
    <w:rsid w:val="00511102"/>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09EF"/>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706B"/>
    <w:rsid w:val="007309EA"/>
    <w:rsid w:val="007330D2"/>
    <w:rsid w:val="00737641"/>
    <w:rsid w:val="007419A6"/>
    <w:rsid w:val="007430FB"/>
    <w:rsid w:val="00745D23"/>
    <w:rsid w:val="00746CE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3BBF"/>
    <w:rsid w:val="00C953A9"/>
    <w:rsid w:val="00CB13D1"/>
    <w:rsid w:val="00CD2F3B"/>
    <w:rsid w:val="00CD40BC"/>
    <w:rsid w:val="00CD6F7B"/>
    <w:rsid w:val="00CD7FFB"/>
    <w:rsid w:val="00CE33E0"/>
    <w:rsid w:val="00CE3DA0"/>
    <w:rsid w:val="00CE73CD"/>
    <w:rsid w:val="00D15520"/>
    <w:rsid w:val="00D1671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D5E12"/>
    <w:rsid w:val="00DE3BDB"/>
    <w:rsid w:val="00DF2939"/>
    <w:rsid w:val="00E02BCF"/>
    <w:rsid w:val="00E05764"/>
    <w:rsid w:val="00E14028"/>
    <w:rsid w:val="00E15718"/>
    <w:rsid w:val="00E169A1"/>
    <w:rsid w:val="00E16FDC"/>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E5213"/>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9F2B7-2205-42DF-B434-E97D0C28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11</Pages>
  <Words>5225</Words>
  <Characters>29785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34941</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70</cp:revision>
  <cp:lastPrinted>2016-01-15T02:37:00Z</cp:lastPrinted>
  <dcterms:created xsi:type="dcterms:W3CDTF">2017-09-04T13:50:00Z</dcterms:created>
  <dcterms:modified xsi:type="dcterms:W3CDTF">2017-11-26T02:27:00Z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