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B26E90"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B26E90"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B26E90"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B26E90"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95921" w:rsidRPr="00F95921">
        <w:rPr>
          <w:rFonts w:ascii="Times New Roman" w:hAnsi="Times New Roman"/>
          <w:iCs/>
          <w:sz w:val="26"/>
          <w:szCs w:val="26"/>
          <w:lang w:eastAsia="ja-JP"/>
        </w:rPr>
        <w:t>(55 bào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w:t>
      </w:r>
      <w:r w:rsidR="008F387E">
        <w:rPr>
          <w:rFonts w:ascii="Times New Roman" w:hAnsi="Times New Roman" w:hint="eastAsia"/>
          <w:iCs/>
          <w:sz w:val="26"/>
          <w:szCs w:val="26"/>
          <w:lang w:eastAsia="ja-JP"/>
        </w:rPr>
        <w:lastRenderedPageBreak/>
        <w:t>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bookmarkStart w:id="0" w:name="_GoBack"/>
      <w:bookmarkEnd w:id="0"/>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lastRenderedPageBreak/>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 xml:space="preserve">nhằm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lastRenderedPageBreak/>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sz w:val="26"/>
          <w:szCs w:val="26"/>
          <w:lang w:eastAsia="ja-JP"/>
        </w:rPr>
      </w:pPr>
      <w:r w:rsidRPr="00D42D7D">
        <w:rPr>
          <w:rFonts w:ascii="Times New Roman" w:hAnsi="Times New Roman"/>
          <w:sz w:val="26"/>
          <w:szCs w:val="26"/>
          <w:lang w:eastAsia="ja-JP"/>
        </w:rPr>
        <w:lastRenderedPageBreak/>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 xml:space="preserve">[Kor90].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B34713" w:rsidRPr="002123D5" w:rsidRDefault="00B34713" w:rsidP="00B34713">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 xml:space="preserve">[IM2003]. 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kiểm chứng </w:t>
      </w:r>
      <w:r w:rsidRPr="00B34713">
        <w:rPr>
          <w:rFonts w:ascii="Times New Roman" w:hAnsi="Times New Roman"/>
          <w:sz w:val="26"/>
          <w:szCs w:val="26"/>
          <w:lang w:eastAsia="ja-JP"/>
        </w:rPr>
        <w:lastRenderedPageBreak/>
        <w:t>thực 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Pr="004A7CD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sectPr w:rsidR="0074521A"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E90" w:rsidRDefault="00B26E90">
      <w:r>
        <w:separator/>
      </w:r>
    </w:p>
  </w:endnote>
  <w:endnote w:type="continuationSeparator" w:id="0">
    <w:p w:rsidR="00B26E90" w:rsidRDefault="00B2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B918DD"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E90" w:rsidRDefault="00B26E90">
      <w:r>
        <w:separator/>
      </w:r>
    </w:p>
  </w:footnote>
  <w:footnote w:type="continuationSeparator" w:id="0">
    <w:p w:rsidR="00B26E90" w:rsidRDefault="00B26E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17105"/>
    <w:rsid w:val="000276A1"/>
    <w:rsid w:val="00030A57"/>
    <w:rsid w:val="000509A4"/>
    <w:rsid w:val="000533A5"/>
    <w:rsid w:val="00057395"/>
    <w:rsid w:val="00073028"/>
    <w:rsid w:val="000903E7"/>
    <w:rsid w:val="000A3C16"/>
    <w:rsid w:val="000C2BC9"/>
    <w:rsid w:val="000C7F1D"/>
    <w:rsid w:val="000D179D"/>
    <w:rsid w:val="000D2221"/>
    <w:rsid w:val="000E099D"/>
    <w:rsid w:val="000F1FE3"/>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2E364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CB9"/>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3E1B"/>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C97"/>
    <w:rsid w:val="00671659"/>
    <w:rsid w:val="006777F0"/>
    <w:rsid w:val="00685FA8"/>
    <w:rsid w:val="006960D2"/>
    <w:rsid w:val="006A0D1C"/>
    <w:rsid w:val="006A1772"/>
    <w:rsid w:val="006A22FF"/>
    <w:rsid w:val="006A7910"/>
    <w:rsid w:val="006B32CE"/>
    <w:rsid w:val="006B7055"/>
    <w:rsid w:val="006C613D"/>
    <w:rsid w:val="006C7D00"/>
    <w:rsid w:val="006E62DD"/>
    <w:rsid w:val="006F4578"/>
    <w:rsid w:val="0070690B"/>
    <w:rsid w:val="007116CA"/>
    <w:rsid w:val="00712071"/>
    <w:rsid w:val="0072045F"/>
    <w:rsid w:val="0072560B"/>
    <w:rsid w:val="0073544B"/>
    <w:rsid w:val="00740C28"/>
    <w:rsid w:val="0074521A"/>
    <w:rsid w:val="007526DB"/>
    <w:rsid w:val="00766FB5"/>
    <w:rsid w:val="00770849"/>
    <w:rsid w:val="00775BA4"/>
    <w:rsid w:val="00780573"/>
    <w:rsid w:val="00780880"/>
    <w:rsid w:val="007811B1"/>
    <w:rsid w:val="007901CD"/>
    <w:rsid w:val="007959C1"/>
    <w:rsid w:val="007A6CEA"/>
    <w:rsid w:val="007B68A0"/>
    <w:rsid w:val="007C2F8B"/>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8F6AFB"/>
    <w:rsid w:val="00912712"/>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417B3"/>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26E90"/>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18DD"/>
    <w:rsid w:val="00B92C0D"/>
    <w:rsid w:val="00B94CB6"/>
    <w:rsid w:val="00B97615"/>
    <w:rsid w:val="00BB1017"/>
    <w:rsid w:val="00BB5A5E"/>
    <w:rsid w:val="00BC5129"/>
    <w:rsid w:val="00BD340B"/>
    <w:rsid w:val="00BE27FF"/>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0B36FF-162E-4AFE-BE32-B388CBE5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20</Pages>
  <Words>4933</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185</cp:revision>
  <cp:lastPrinted>2014-12-03T09:50:00Z</cp:lastPrinted>
  <dcterms:created xsi:type="dcterms:W3CDTF">2017-02-12T08:57:00Z</dcterms:created>
  <dcterms:modified xsi:type="dcterms:W3CDTF">2017-04-15T10:19:00Z</dcterms:modified>
</cp:coreProperties>
</file>