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w:t>
      </w:r>
      <w:proofErr w:type="spellStart"/>
      <w:r w:rsidRPr="00E7313E">
        <w:t>undecidable</w:t>
      </w:r>
      <w:proofErr w:type="spellEnd"/>
      <w:r w:rsidRPr="00E7313E">
        <w:t xml:space="preserv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B34B6" w:rsidP="00E56A13">
      <w:pPr>
        <w:spacing w:after="120"/>
      </w:pPr>
      <w:r w:rsidRPr="006B34B6">
        <w:t>Symbolic execution can easily and quickly derive test inputs for the first two conditions but not for the third. Traditional GA might take longer on the first condition, but it can solve the third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traditional GA in generating test data wh</w:t>
      </w:r>
      <w:r w:rsidR="00D53376">
        <w:t>ich can cover all the paths in the</w:t>
      </w:r>
      <w:r w:rsidRPr="00E7313E">
        <w:t xml:space="preserve"> </w:t>
      </w:r>
      <w:r w:rsidR="000C0088">
        <w:t>above test</w:t>
      </w:r>
      <w:r w:rsidRPr="00E7313E">
        <w:t xml:space="preserve">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lastRenderedPageBreak/>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46DBF">
        <w:fldChar w:fldCharType="begin"/>
      </w:r>
      <w:r w:rsidR="00A13F82">
        <w:instrText xml:space="preserve"> SEQ Table \* ARABIC </w:instrText>
      </w:r>
      <w:r w:rsidR="00A46DBF">
        <w:fldChar w:fldCharType="separate"/>
      </w:r>
      <w:r w:rsidR="00F4423B">
        <w:rPr>
          <w:noProof/>
        </w:rPr>
        <w:t>1</w:t>
      </w:r>
      <w:r w:rsidR="00A46DBF">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w:t>
      </w:r>
      <w:r w:rsidRPr="00E7313E">
        <w:lastRenderedPageBreak/>
        <w:t xml:space="preserve">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w:t>
      </w:r>
      <w:proofErr w:type="gramStart"/>
      <w:r w:rsidRPr="00E7313E">
        <w:t>essentially</w:t>
      </w:r>
      <w:proofErr w:type="gramEnd"/>
      <w:r w:rsidRPr="00E7313E">
        <w:t xml:space="preserve">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bookmarkStart w:id="0" w:name="_GoBack"/>
      <w:bookmarkEnd w:id="0"/>
      <w:r w:rsidR="005663DC" w:rsidRPr="00F40941">
        <w:rPr>
          <w:rFonts w:ascii="Courier" w:hAnsi="Courier"/>
          <w:sz w:val="14"/>
          <w:szCs w:val="14"/>
          <w:lang w:eastAsia="ja-JP"/>
        </w:rPr>
        <w:t>&amp;&amp;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F4423B">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w:t>
      </w:r>
      <w:proofErr w:type="spellStart"/>
      <w:r w:rsidRPr="00E7313E">
        <w:rPr>
          <w:rFonts w:hint="eastAsia"/>
          <w:lang w:eastAsia="ja-JP"/>
        </w:rPr>
        <w:t>của</w:t>
      </w:r>
      <w:proofErr w:type="spellEnd"/>
      <w:r w:rsidRPr="00E7313E">
        <w:rPr>
          <w:rFonts w:hint="eastAsia"/>
          <w:lang w:eastAsia="ja-JP"/>
        </w:rPr>
        <w:t xml:space="preserve">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proofErr w:type="spellStart"/>
      <w:r>
        <w:rPr>
          <w:rFonts w:hint="eastAsia"/>
          <w:lang w:eastAsia="ja-JP"/>
        </w:rPr>
        <w:t>của</w:t>
      </w:r>
      <w:proofErr w:type="spellEnd"/>
      <w:r>
        <w:rPr>
          <w:rFonts w:hint="eastAsia"/>
          <w:lang w:eastAsia="ja-JP"/>
        </w:rPr>
        <w:t xml:space="preserve">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w:t>
      </w:r>
      <w:proofErr w:type="spellStart"/>
      <w:r>
        <w:rPr>
          <w:rFonts w:hint="eastAsia"/>
          <w:lang w:eastAsia="ja-JP"/>
        </w:rPr>
        <w:t>trong</w:t>
      </w:r>
      <w:proofErr w:type="spellEnd"/>
      <w:r>
        <w:rPr>
          <w:rFonts w:hint="eastAsia"/>
          <w:lang w:eastAsia="ja-JP"/>
        </w:rPr>
        <w:t xml:space="preserve">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lastRenderedPageBreak/>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w:t>
      </w:r>
      <w:proofErr w:type="spellStart"/>
      <w:r w:rsidRPr="00E7313E">
        <w:rPr>
          <w:highlight w:val="yellow"/>
        </w:rPr>
        <w:t>của</w:t>
      </w:r>
      <w:proofErr w:type="spellEnd"/>
      <w:r w:rsidRPr="00E7313E">
        <w:rPr>
          <w:highlight w:val="yellow"/>
        </w:rPr>
        <w:t xml:space="preserve">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w:t>
      </w:r>
      <w:proofErr w:type="spellStart"/>
      <w:r w:rsidRPr="00E7313E">
        <w:rPr>
          <w:highlight w:val="yellow"/>
        </w:rPr>
        <w:t>của</w:t>
      </w:r>
      <w:proofErr w:type="spellEnd"/>
      <w:r w:rsidRPr="00E7313E">
        <w:rPr>
          <w:highlight w:val="yellow"/>
        </w:rPr>
        <w:t xml:space="preserve">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if</w:t>
      </w:r>
      <w:proofErr w:type="gramEnd"/>
      <w:r w:rsidR="00662CE2" w:rsidRPr="00166D63">
        <w:rPr>
          <w:rFonts w:ascii="Courier" w:hAnsi="Courier"/>
          <w:sz w:val="14"/>
          <w:szCs w:val="14"/>
          <w:lang w:eastAsia="ja-JP"/>
        </w:rPr>
        <w:t xml:space="preserve">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bIsValue</w:t>
      </w:r>
      <w:proofErr w:type="spellEnd"/>
      <w:r w:rsidR="00662CE2"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C2707F">
        <w:rPr>
          <w:rFonts w:ascii="Courier" w:hAnsi="Courier" w:hint="eastAsia"/>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w:t>
      </w:r>
      <w:proofErr w:type="spellStart"/>
      <w:r w:rsidR="00772EE5" w:rsidRPr="00E7313E">
        <w:rPr>
          <w:rFonts w:hint="eastAsia"/>
          <w:lang w:eastAsia="ja-JP"/>
        </w:rPr>
        <w:t>của</w:t>
      </w:r>
      <w:proofErr w:type="spellEnd"/>
      <w:r w:rsidR="00772EE5" w:rsidRPr="00E7313E">
        <w:rPr>
          <w:rFonts w:hint="eastAsia"/>
          <w:lang w:eastAsia="ja-JP"/>
        </w:rPr>
        <w:t xml:space="preserve">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của</w:t>
      </w:r>
      <w:proofErr w:type="spellEnd"/>
      <w:r w:rsidRPr="00E7313E">
        <w:rPr>
          <w:rFonts w:hint="eastAsia"/>
          <w:lang w:eastAsia="ja-JP"/>
        </w:rPr>
        <w:t xml:space="preserve">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w:t>
      </w:r>
      <w:proofErr w:type="spellStart"/>
      <w:r w:rsidRPr="00E7313E">
        <w:rPr>
          <w:rFonts w:hint="eastAsia"/>
          <w:lang w:eastAsia="ja-JP"/>
        </w:rPr>
        <w:t>trong</w:t>
      </w:r>
      <w:proofErr w:type="spellEnd"/>
      <w:r w:rsidRPr="00E7313E">
        <w:rPr>
          <w:rFonts w:hint="eastAsia"/>
          <w:lang w:eastAsia="ja-JP"/>
        </w:rPr>
        <w:t xml:space="preserve">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w:t>
      </w:r>
      <w:proofErr w:type="spellStart"/>
      <w:r w:rsidR="00421D6E" w:rsidRPr="00E7313E">
        <w:rPr>
          <w:rFonts w:hint="eastAsia"/>
          <w:lang w:eastAsia="ja-JP"/>
        </w:rPr>
        <w:t>ta</w:t>
      </w:r>
      <w:proofErr w:type="spellEnd"/>
      <w:r w:rsidR="00421D6E" w:rsidRPr="00E7313E">
        <w:rPr>
          <w:rFonts w:hint="eastAsia"/>
          <w:lang w:eastAsia="ja-JP"/>
        </w:rPr>
        <w:t xml:space="preserve">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w:t>
      </w:r>
      <w:proofErr w:type="spellStart"/>
      <w:r w:rsidRPr="00E7313E">
        <w:rPr>
          <w:rFonts w:hint="eastAsia"/>
          <w:lang w:eastAsia="ja-JP"/>
        </w:rPr>
        <w:t>của</w:t>
      </w:r>
      <w:proofErr w:type="spellEnd"/>
      <w:r w:rsidRPr="00E7313E">
        <w:rPr>
          <w:rFonts w:hint="eastAsia"/>
          <w:lang w:eastAsia="ja-JP"/>
        </w:rPr>
        <w:t xml:space="preserve">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lastRenderedPageBreak/>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trong</w:t>
      </w:r>
      <w:proofErr w:type="spellEnd"/>
      <w:r w:rsidRPr="00E7313E">
        <w:rPr>
          <w:rFonts w:hint="eastAsia"/>
          <w:lang w:eastAsia="ja-JP"/>
        </w:rPr>
        <w:t xml:space="preserve">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w:t>
      </w:r>
      <w:proofErr w:type="spellStart"/>
      <w:r w:rsidR="00D05684" w:rsidRPr="00E7313E">
        <w:rPr>
          <w:rFonts w:hint="eastAsia"/>
          <w:lang w:eastAsia="ja-JP"/>
        </w:rPr>
        <w:t>của</w:t>
      </w:r>
      <w:proofErr w:type="spellEnd"/>
      <w:r w:rsidR="00D05684" w:rsidRPr="00E7313E">
        <w:rPr>
          <w:rFonts w:hint="eastAsia"/>
          <w:lang w:eastAsia="ja-JP"/>
        </w:rPr>
        <w:t xml:space="preserve">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 xml:space="preserve">Chen and </w:t>
      </w:r>
      <w:proofErr w:type="spellStart"/>
      <w:r w:rsidR="009B3430" w:rsidRPr="00E7313E">
        <w:t>Zhong</w:t>
      </w:r>
      <w:proofErr w:type="spellEnd"/>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r w:rsidRPr="009B3430">
              <w:rPr>
                <w:b/>
              </w:rPr>
              <w:t xml:space="preserve">Chen and </w:t>
            </w:r>
            <w:proofErr w:type="spellStart"/>
            <w:r w:rsidRPr="009B3430">
              <w:rPr>
                <w:b/>
              </w:rPr>
              <w:t>Zhong</w:t>
            </w:r>
            <w:proofErr w:type="spellEnd"/>
            <w:r w:rsidRPr="009B3430">
              <w:rPr>
                <w:rFonts w:hint="eastAsia"/>
                <w:b/>
                <w:bCs/>
                <w:szCs w:val="18"/>
                <w:lang w:eastAsia="ja-JP"/>
              </w:rPr>
              <w:t xml:space="preserve"> </w:t>
            </w:r>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A46DBF" w:rsidP="00EB42C6">
      <w:pPr>
        <w:pStyle w:val="references"/>
      </w:pPr>
      <w:hyperlink r:id="rId9" w:history="1">
        <w:r w:rsidR="004966E7" w:rsidRPr="00347240">
          <w:rPr>
            <w:rStyle w:val="Hyperlink"/>
          </w:rPr>
          <w:t>https://docs.oracle.com/javase/tutorial/java/nutsandbolts/if.html</w:t>
        </w:r>
      </w:hyperlink>
    </w:p>
    <w:p w:rsidR="00697BFF" w:rsidRPr="00E7313E"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sectPr w:rsidR="00697BFF"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C3C" w:rsidRDefault="00300C3C">
      <w:r>
        <w:separator/>
      </w:r>
    </w:p>
  </w:endnote>
  <w:endnote w:type="continuationSeparator" w:id="0">
    <w:p w:rsidR="00300C3C" w:rsidRDefault="00300C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C3C" w:rsidRDefault="00300C3C">
      <w:r>
        <w:separator/>
      </w:r>
    </w:p>
  </w:footnote>
  <w:footnote w:type="continuationSeparator" w:id="0">
    <w:p w:rsidR="00300C3C" w:rsidRDefault="00300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088"/>
    <w:rsid w:val="000C010C"/>
    <w:rsid w:val="000C5BE2"/>
    <w:rsid w:val="000E46B3"/>
    <w:rsid w:val="000E68BB"/>
    <w:rsid w:val="000E7AAD"/>
    <w:rsid w:val="000F0FB2"/>
    <w:rsid w:val="00132A62"/>
    <w:rsid w:val="00134731"/>
    <w:rsid w:val="0013541D"/>
    <w:rsid w:val="00140EDA"/>
    <w:rsid w:val="00143266"/>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2797E"/>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0C3C"/>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54D8"/>
    <w:rsid w:val="00421D6E"/>
    <w:rsid w:val="00421E7B"/>
    <w:rsid w:val="00423B28"/>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2816"/>
    <w:rsid w:val="005E392B"/>
    <w:rsid w:val="005E42A4"/>
    <w:rsid w:val="005E7724"/>
    <w:rsid w:val="0061160E"/>
    <w:rsid w:val="0061635D"/>
    <w:rsid w:val="0061710B"/>
    <w:rsid w:val="00617C99"/>
    <w:rsid w:val="006219C5"/>
    <w:rsid w:val="00632B1A"/>
    <w:rsid w:val="00642E5B"/>
    <w:rsid w:val="00662CE2"/>
    <w:rsid w:val="00663807"/>
    <w:rsid w:val="00664C9A"/>
    <w:rsid w:val="00666145"/>
    <w:rsid w:val="00666C37"/>
    <w:rsid w:val="00673AAD"/>
    <w:rsid w:val="00674287"/>
    <w:rsid w:val="00676781"/>
    <w:rsid w:val="006851D3"/>
    <w:rsid w:val="0068547D"/>
    <w:rsid w:val="00691F78"/>
    <w:rsid w:val="0069356A"/>
    <w:rsid w:val="00697BFF"/>
    <w:rsid w:val="006A044B"/>
    <w:rsid w:val="006A1FA3"/>
    <w:rsid w:val="006B34B6"/>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9F6BFA"/>
    <w:rsid w:val="00A006CE"/>
    <w:rsid w:val="00A07DFD"/>
    <w:rsid w:val="00A105B5"/>
    <w:rsid w:val="00A109F2"/>
    <w:rsid w:val="00A13F82"/>
    <w:rsid w:val="00A21758"/>
    <w:rsid w:val="00A21837"/>
    <w:rsid w:val="00A46DBF"/>
    <w:rsid w:val="00A5020F"/>
    <w:rsid w:val="00A53119"/>
    <w:rsid w:val="00A55914"/>
    <w:rsid w:val="00A633FD"/>
    <w:rsid w:val="00A66E61"/>
    <w:rsid w:val="00AA0E17"/>
    <w:rsid w:val="00AA2D00"/>
    <w:rsid w:val="00AA721B"/>
    <w:rsid w:val="00AC500C"/>
    <w:rsid w:val="00AC57CE"/>
    <w:rsid w:val="00AC5AFF"/>
    <w:rsid w:val="00AD067A"/>
    <w:rsid w:val="00AD76FD"/>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E2044"/>
    <w:rsid w:val="00E02083"/>
    <w:rsid w:val="00E15199"/>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B42C6"/>
    <w:rsid w:val="00EC1F6A"/>
    <w:rsid w:val="00EC202C"/>
    <w:rsid w:val="00EC629C"/>
    <w:rsid w:val="00ED3D93"/>
    <w:rsid w:val="00EE172F"/>
    <w:rsid w:val="00EE2657"/>
    <w:rsid w:val="00F06337"/>
    <w:rsid w:val="00F1066A"/>
    <w:rsid w:val="00F16EB8"/>
    <w:rsid w:val="00F201ED"/>
    <w:rsid w:val="00F2781E"/>
    <w:rsid w:val="00F30666"/>
    <w:rsid w:val="00F36206"/>
    <w:rsid w:val="00F40941"/>
    <w:rsid w:val="00F43E98"/>
    <w:rsid w:val="00F43FB4"/>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C63D7"/>
    <w:rsid w:val="00FD3954"/>
    <w:rsid w:val="00FE1137"/>
    <w:rsid w:val="00FE37BB"/>
    <w:rsid w:val="00FE5869"/>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6</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29712</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168</cp:revision>
  <cp:lastPrinted>2016-08-11T00:49:00Z</cp:lastPrinted>
  <dcterms:created xsi:type="dcterms:W3CDTF">2016-08-11T08:57:00Z</dcterms:created>
  <dcterms:modified xsi:type="dcterms:W3CDTF">2016-08-21T15:26:00Z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