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A4535D" w:rsidP="00BE5DAE">
      <w:pPr>
        <w:pStyle w:val="papertitle"/>
        <w:sectPr w:rsidR="008B197E" w:rsidRPr="00E7313E" w:rsidSect="003B4153">
          <w:footerReference w:type="even" r:id="rId7"/>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963487">
        <w:fldChar w:fldCharType="begin"/>
      </w:r>
      <w:r w:rsidR="00A13F82">
        <w:instrText xml:space="preserve"> SEQ Table \* ARABIC </w:instrText>
      </w:r>
      <w:r w:rsidR="00963487">
        <w:fldChar w:fldCharType="separate"/>
      </w:r>
      <w:r w:rsidR="00551DF8">
        <w:rPr>
          <w:noProof/>
        </w:rPr>
        <w:t>1</w:t>
      </w:r>
      <w:r w:rsidR="00963487">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proofErr w:type="spellStart"/>
      <w:r>
        <w:rPr>
          <w:lang w:eastAsia="ja-JP"/>
        </w:rPr>
        <w:t>WBS</w:t>
      </w:r>
      <w:proofErr w:type="spellEnd"/>
      <w:r>
        <w:rPr>
          <w:lang w:eastAsia="ja-JP"/>
        </w:rPr>
        <w:t>,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551DF8">
        <w:rPr>
          <w:noProof/>
        </w:rPr>
        <w:t>1</w:t>
      </w:r>
      <w:r w:rsidR="00963487"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F35FC8" w:rsidRP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List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1E66EC">
              <w:rPr>
                <w:szCs w:val="18"/>
                <w:lang w:eastAsia="ja-JP"/>
              </w:rPr>
              <w:t xml:space="preserve">List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in the list</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 xml:space="preserve">use </w:t>
            </w:r>
            <w:proofErr w:type="spellStart"/>
            <w:r w:rsidR="001E66EC">
              <w:rPr>
                <w:szCs w:val="18"/>
                <w:lang w:eastAsia="ja-JP"/>
              </w:rPr>
              <w:t>Z3</w:t>
            </w:r>
            <w:proofErr w:type="spellEnd"/>
            <w:r w:rsidR="001E66EC">
              <w:rPr>
                <w:szCs w:val="18"/>
                <w:lang w:eastAsia="ja-JP"/>
              </w:rPr>
              <w:t xml:space="preserve"> to solve constrains;</w:t>
            </w:r>
          </w:p>
          <w:p w:rsidR="00F35FC8" w:rsidRDefault="00F35FC8" w:rsidP="001E66EC">
            <w:pPr>
              <w:pStyle w:val="BodyTextIndent"/>
              <w:ind w:firstLine="0"/>
              <w:jc w:val="left"/>
              <w:rPr>
                <w:szCs w:val="18"/>
                <w:lang w:eastAsia="ja-JP"/>
              </w:rPr>
            </w:pPr>
            <w:r>
              <w:rPr>
                <w:rFonts w:hint="eastAsia"/>
                <w:szCs w:val="18"/>
                <w:lang w:eastAsia="ja-JP"/>
              </w:rPr>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into the list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list of </w:t>
            </w:r>
            <w:r>
              <w:rPr>
                <w:rFonts w:hint="eastAsia"/>
                <w:szCs w:val="18"/>
                <w:lang w:eastAsia="ja-JP"/>
              </w:rPr>
              <w:t>constraint satisfaction</w:t>
            </w:r>
            <w:r>
              <w:rPr>
                <w:szCs w:val="18"/>
                <w:lang w:eastAsia="ja-JP"/>
              </w:rPr>
              <w:t>;</w:t>
            </w:r>
          </w:p>
        </w:tc>
      </w:tr>
    </w:tbl>
    <w:p w:rsidR="00F35FC8" w:rsidRDefault="00F35FC8" w:rsidP="007A6F8F">
      <w:pPr>
        <w:pStyle w:val="BodyTextIndent"/>
        <w:spacing w:after="120"/>
        <w:ind w:firstLine="0"/>
        <w:rPr>
          <w:lang w:eastAsia="ja-JP"/>
        </w:rPr>
      </w:pPr>
    </w:p>
    <w:p w:rsidR="00512F05" w:rsidRPr="00E7313E" w:rsidRDefault="00CC6F19" w:rsidP="00193554">
      <w:pPr>
        <w:pStyle w:val="Heading3"/>
        <w:spacing w:before="120"/>
        <w:rPr>
          <w:lang w:eastAsia="ja-JP"/>
        </w:rPr>
      </w:pPr>
      <w:r>
        <w:rPr>
          <w:rFonts w:hint="eastAsia"/>
          <w:lang w:eastAsia="ja-JP"/>
        </w:rPr>
        <w:lastRenderedPageBreak/>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3F3784" w:rsidRDefault="00DC46B0" w:rsidP="004B42D7">
      <w:pPr>
        <w:spacing w:after="0"/>
        <w:rPr>
          <w:rFonts w:ascii="Courier" w:hAnsi="Courier"/>
          <w:sz w:val="14"/>
          <w:szCs w:val="14"/>
          <w:lang w:eastAsia="ja-JP"/>
        </w:rPr>
      </w:pPr>
      <w:r w:rsidRPr="006F4EC2">
        <w:rPr>
          <w:rFonts w:ascii="Courier" w:hAnsi="Courier"/>
          <w:sz w:val="14"/>
          <w:szCs w:val="14"/>
          <w:lang w:eastAsia="ja-JP"/>
        </w:rPr>
        <w:t>}</w:t>
      </w:r>
    </w:p>
    <w:p w:rsidR="004B42D7" w:rsidRPr="004B42D7" w:rsidRDefault="004B42D7" w:rsidP="004B42D7">
      <w:pPr>
        <w:spacing w:after="0"/>
        <w:rPr>
          <w:rFonts w:ascii="Courier" w:hAnsi="Courier"/>
          <w:sz w:val="14"/>
          <w:szCs w:val="14"/>
          <w:lang w:eastAsia="ja-JP"/>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List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List of </w:t>
            </w:r>
            <w:r w:rsidR="003A2966">
              <w:rPr>
                <w:szCs w:val="18"/>
                <w:lang w:eastAsia="ja-JP"/>
              </w:rPr>
              <w:t>a</w:t>
            </w:r>
            <w:r w:rsidR="00A85632">
              <w:rPr>
                <w:rFonts w:hint="eastAsia"/>
                <w:szCs w:val="18"/>
                <w:lang w:eastAsia="ja-JP"/>
              </w:rPr>
              <w:t>djust 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the list</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bookmarkStart w:id="0" w:name="_GoBack"/>
            <w:bookmarkEnd w:id="0"/>
            <w:r w:rsidR="00A06154">
              <w:rPr>
                <w:szCs w:val="18"/>
                <w:lang w:eastAsia="ja-JP"/>
              </w:rPr>
              <w:t xml:space="preserve">create a new </w:t>
            </w:r>
            <w:r w:rsidR="003A2966">
              <w:rPr>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proofErr w:type="spellStart"/>
            <w:r w:rsidR="003A2966">
              <w:rPr>
                <w:szCs w:val="18"/>
                <w:lang w:eastAsia="ja-JP"/>
              </w:rPr>
              <w:t>a</w:t>
            </w:r>
            <w:r w:rsidR="003A2966">
              <w:rPr>
                <w:rFonts w:hint="eastAsia"/>
                <w:szCs w:val="18"/>
                <w:lang w:eastAsia="ja-JP"/>
              </w:rPr>
              <w:t>djust</w:t>
            </w:r>
            <w:r w:rsidR="003A2966">
              <w:rPr>
                <w:szCs w:val="18"/>
                <w:lang w:eastAsia="ja-JP"/>
              </w:rPr>
              <w:t>.index</w:t>
            </w:r>
            <w:proofErr w:type="spellEnd"/>
            <w:r w:rsidR="003A2966">
              <w:rPr>
                <w:szCs w:val="18"/>
                <w:lang w:eastAsia="ja-JP"/>
              </w:rPr>
              <w:t xml:space="preserve">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szCs w:val="18"/>
                <w:lang w:eastAsia="ja-JP"/>
              </w:rPr>
            </w:pPr>
            <w:r>
              <w:rPr>
                <w:szCs w:val="18"/>
                <w:lang w:eastAsia="ja-JP"/>
              </w:rPr>
              <w:t>4</w:t>
            </w:r>
            <w:r>
              <w:rPr>
                <w:rFonts w:hint="eastAsia"/>
                <w:szCs w:val="18"/>
                <w:lang w:eastAsia="ja-JP"/>
              </w:rPr>
              <w:t xml:space="preserve">: </w:t>
            </w:r>
            <w:r>
              <w:rPr>
                <w:szCs w:val="18"/>
                <w:lang w:eastAsia="ja-JP"/>
              </w:rPr>
              <w:t xml:space="preserve">     </w:t>
            </w:r>
            <w:proofErr w:type="spellStart"/>
            <w:r>
              <w:rPr>
                <w:szCs w:val="18"/>
                <w:lang w:eastAsia="ja-JP"/>
              </w:rPr>
              <w:t>a</w:t>
            </w:r>
            <w:r>
              <w:rPr>
                <w:rFonts w:hint="eastAsia"/>
                <w:szCs w:val="18"/>
                <w:lang w:eastAsia="ja-JP"/>
              </w:rPr>
              <w:t>djust</w:t>
            </w:r>
            <w:r>
              <w:rPr>
                <w:szCs w:val="18"/>
                <w:lang w:eastAsia="ja-JP"/>
              </w:rPr>
              <w:t>.value</w:t>
            </w:r>
            <w:proofErr w:type="spellEnd"/>
            <w:r>
              <w:rPr>
                <w:szCs w:val="18"/>
                <w:lang w:eastAsia="ja-JP"/>
              </w:rPr>
              <w:t xml:space="preserve"> = value of variable in </w:t>
            </w:r>
            <w:r>
              <w:rPr>
                <w:rFonts w:hint="eastAsia"/>
                <w:szCs w:val="18"/>
                <w:lang w:eastAsia="ja-JP"/>
              </w:rPr>
              <w:t>constraint satisfaction</w:t>
            </w:r>
            <w:r>
              <w:rPr>
                <w:szCs w:val="18"/>
                <w:lang w:eastAsia="ja-JP"/>
              </w:rPr>
              <w:t>;</w:t>
            </w:r>
          </w:p>
          <w:p w:rsidR="000C0C7A" w:rsidRDefault="000C0C7A" w:rsidP="001E66EC">
            <w:pPr>
              <w:pStyle w:val="BodyTextIndent"/>
              <w:ind w:firstLine="0"/>
              <w:jc w:val="left"/>
              <w:rPr>
                <w:szCs w:val="18"/>
                <w:lang w:eastAsia="ja-JP"/>
              </w:rPr>
            </w:pPr>
            <w:r>
              <w:rPr>
                <w:szCs w:val="18"/>
                <w:lang w:eastAsia="ja-JP"/>
              </w:rPr>
              <w:t>5:      add adjust object to list;</w:t>
            </w:r>
          </w:p>
          <w:p w:rsidR="003F3784" w:rsidRDefault="000C0C7A" w:rsidP="00E71F16">
            <w:pPr>
              <w:pStyle w:val="BodyTextIndent"/>
              <w:ind w:firstLine="0"/>
              <w:jc w:val="left"/>
              <w:rPr>
                <w:szCs w:val="18"/>
                <w:lang w:eastAsia="ja-JP"/>
              </w:rPr>
            </w:pPr>
            <w:r>
              <w:rPr>
                <w:szCs w:val="18"/>
                <w:lang w:eastAsia="ja-JP"/>
              </w:rPr>
              <w:t>6</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0C0C7A" w:rsidP="00E71F16">
            <w:pPr>
              <w:pStyle w:val="BodyTextIndent"/>
              <w:ind w:firstLine="0"/>
              <w:jc w:val="left"/>
              <w:rPr>
                <w:szCs w:val="18"/>
                <w:lang w:eastAsia="ja-JP"/>
              </w:rPr>
            </w:pPr>
            <w:r>
              <w:rPr>
                <w:szCs w:val="18"/>
                <w:lang w:eastAsia="ja-JP"/>
              </w:rPr>
              <w:t xml:space="preserve">7: </w:t>
            </w:r>
            <w:r w:rsidRPr="000C0C7A">
              <w:rPr>
                <w:b/>
                <w:szCs w:val="18"/>
                <w:lang w:eastAsia="ja-JP"/>
              </w:rPr>
              <w:t>return</w:t>
            </w:r>
            <w:r>
              <w:rPr>
                <w:szCs w:val="18"/>
                <w:lang w:eastAsia="ja-JP"/>
              </w:rPr>
              <w:t xml:space="preserve"> l</w:t>
            </w:r>
            <w:r>
              <w:rPr>
                <w:rFonts w:hint="eastAsia"/>
                <w:szCs w:val="18"/>
                <w:lang w:eastAsia="ja-JP"/>
              </w:rPr>
              <w:t xml:space="preserve">ist of </w:t>
            </w:r>
            <w:r>
              <w:rPr>
                <w:szCs w:val="18"/>
                <w:lang w:eastAsia="ja-JP"/>
              </w:rPr>
              <w:t>a</w:t>
            </w:r>
            <w:r>
              <w:rPr>
                <w:rFonts w:hint="eastAsia"/>
                <w:szCs w:val="18"/>
                <w:lang w:eastAsia="ja-JP"/>
              </w:rPr>
              <w:t>djust object</w:t>
            </w:r>
            <w:r>
              <w:rPr>
                <w:szCs w:val="18"/>
                <w:lang w:eastAsia="ja-JP"/>
              </w:rPr>
              <w:t>;</w:t>
            </w:r>
          </w:p>
        </w:tc>
      </w:tr>
    </w:tbl>
    <w:p w:rsidR="005A722F" w:rsidRPr="00E7313E" w:rsidRDefault="00AC1198" w:rsidP="005A722F">
      <w:pPr>
        <w:pStyle w:val="BodyTextIndent"/>
        <w:spacing w:before="120" w:after="120"/>
        <w:ind w:firstLine="0"/>
        <w:rPr>
          <w:lang w:eastAsia="ja-JP"/>
        </w:rPr>
      </w:pPr>
      <w:r>
        <w:rPr>
          <w:rFonts w:hint="eastAsia"/>
          <w:lang w:eastAsia="ja-JP"/>
        </w:rPr>
        <w:t>For example, 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lastRenderedPageBreak/>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C3D31">
              <w:rPr>
                <w:szCs w:val="18"/>
                <w:lang w:eastAsia="ja-JP"/>
              </w:rPr>
              <w:t>a</w:t>
            </w:r>
            <w:r w:rsidR="00DA40BA">
              <w:rPr>
                <w:rFonts w:hint="eastAsia"/>
                <w:szCs w:val="18"/>
                <w:lang w:eastAsia="ja-JP"/>
              </w:rPr>
              <w:t>djust 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p>
          <w:p w:rsidR="00374DDB" w:rsidRDefault="00374DDB" w:rsidP="0002555F">
            <w:pPr>
              <w:pStyle w:val="BodyTextIndent"/>
              <w:ind w:firstLine="0"/>
              <w:jc w:val="left"/>
              <w:rPr>
                <w:szCs w:val="18"/>
                <w:lang w:eastAsia="ja-JP"/>
              </w:rPr>
            </w:pPr>
            <w:r>
              <w:rPr>
                <w:rFonts w:hint="eastAsia"/>
                <w:szCs w:val="18"/>
                <w:lang w:eastAsia="ja-JP"/>
              </w:rPr>
              <w:t xml:space="preserve">1: </w:t>
            </w:r>
          </w:p>
          <w:p w:rsidR="00374DDB" w:rsidRDefault="00374DDB" w:rsidP="0002555F">
            <w:pPr>
              <w:pStyle w:val="BodyTextIndent"/>
              <w:ind w:firstLine="0"/>
              <w:jc w:val="left"/>
              <w:rPr>
                <w:szCs w:val="18"/>
                <w:lang w:eastAsia="ja-JP"/>
              </w:rPr>
            </w:pPr>
            <w:r>
              <w:rPr>
                <w:rFonts w:hint="eastAsia"/>
                <w:szCs w:val="18"/>
                <w:lang w:eastAsia="ja-JP"/>
              </w:rPr>
              <w:t xml:space="preserve">2: </w:t>
            </w:r>
          </w:p>
          <w:p w:rsidR="00D313B9" w:rsidRDefault="00D313B9" w:rsidP="0002555F">
            <w:pPr>
              <w:pStyle w:val="BodyTextIndent"/>
              <w:ind w:firstLine="0"/>
              <w:jc w:val="left"/>
              <w:rPr>
                <w:szCs w:val="18"/>
                <w:lang w:eastAsia="ja-JP"/>
              </w:rPr>
            </w:pPr>
            <w:r>
              <w:rPr>
                <w:rFonts w:hint="eastAsia"/>
                <w:szCs w:val="18"/>
                <w:lang w:eastAsia="ja-JP"/>
              </w:rPr>
              <w:t xml:space="preserve">3: </w:t>
            </w:r>
          </w:p>
          <w:p w:rsidR="00D313B9" w:rsidRPr="00E7313E" w:rsidRDefault="00D313B9" w:rsidP="0002555F">
            <w:pPr>
              <w:pStyle w:val="BodyTextIndent"/>
              <w:ind w:firstLine="0"/>
              <w:jc w:val="left"/>
              <w:rPr>
                <w:szCs w:val="18"/>
                <w:lang w:eastAsia="ja-JP"/>
              </w:rPr>
            </w:pPr>
            <w:r>
              <w:rPr>
                <w:rFonts w:hint="eastAsia"/>
                <w:szCs w:val="18"/>
                <w:lang w:eastAsia="ja-JP"/>
              </w:rPr>
              <w:t>4:</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1" w:name="OLE_LINK1"/>
      <w:bookmarkStart w:id="2"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1"/>
      <w:bookmarkEnd w:id="2"/>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lastRenderedPageBreak/>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lastRenderedPageBreak/>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1E66EC">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1E66EC">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lastRenderedPageBreak/>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proofErr w:type="spellStart"/>
      <w:r w:rsidR="006F6233">
        <w:rPr>
          <w:lang w:eastAsia="ja-JP"/>
        </w:rPr>
        <w:t>WBS</w:t>
      </w:r>
      <w:proofErr w:type="spellEnd"/>
      <w:r w:rsidR="006F6233">
        <w:rPr>
          <w:lang w:eastAsia="ja-JP"/>
        </w:rPr>
        <w:t xml:space="preserve">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1E66EC">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1E66EC">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1E66EC">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1E66EC">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1E66EC">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lastRenderedPageBreak/>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lastRenderedPageBreak/>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963487"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E6B" w:rsidRDefault="00E47E6B">
      <w:r>
        <w:separator/>
      </w:r>
    </w:p>
  </w:endnote>
  <w:endnote w:type="continuationSeparator" w:id="0">
    <w:p w:rsidR="00E47E6B" w:rsidRDefault="00E47E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E6B" w:rsidRDefault="00E47E6B">
      <w:r>
        <w:separator/>
      </w:r>
    </w:p>
  </w:footnote>
  <w:footnote w:type="continuationSeparator" w:id="0">
    <w:p w:rsidR="00E47E6B" w:rsidRDefault="00E47E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73D5"/>
    <w:rsid w:val="001E0FBB"/>
    <w:rsid w:val="001E16B3"/>
    <w:rsid w:val="001E1EF4"/>
    <w:rsid w:val="001E443B"/>
    <w:rsid w:val="001E4A9D"/>
    <w:rsid w:val="001E53A0"/>
    <w:rsid w:val="001E66EC"/>
    <w:rsid w:val="001F26E4"/>
    <w:rsid w:val="001F36E8"/>
    <w:rsid w:val="00202243"/>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4BE4"/>
    <w:rsid w:val="00287F4D"/>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74DDB"/>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0323"/>
    <w:rsid w:val="00EB22FE"/>
    <w:rsid w:val="00EB36E7"/>
    <w:rsid w:val="00EB42C6"/>
    <w:rsid w:val="00EB51CA"/>
    <w:rsid w:val="00EB5209"/>
    <w:rsid w:val="00EB7A5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3921</TotalTime>
  <Pages>1</Pages>
  <Words>5473</Words>
  <Characters>31198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36598</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892</cp:revision>
  <cp:lastPrinted>2016-09-05T10:53:00Z</cp:lastPrinted>
  <dcterms:created xsi:type="dcterms:W3CDTF">2016-08-11T08:57:00Z</dcterms:created>
  <dcterms:modified xsi:type="dcterms:W3CDTF">2016-10-17T17:00:00Z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