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(PSO),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2"/>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(PSO) [6, 7, 8]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lastRenderedPageBreak/>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w:t>
      </w:r>
      <w:r w:rsidRPr="008005F9">
        <w:rPr>
          <w:color w:val="000000"/>
          <w:sz w:val="22"/>
          <w:szCs w:val="22"/>
        </w:rPr>
        <w:lastRenderedPageBreak/>
        <w:t xml:space="preserve">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w:t>
      </w:r>
      <w:r w:rsidRPr="002659D5">
        <w:rPr>
          <w:color w:val="131413"/>
          <w:sz w:val="22"/>
          <w:szCs w:val="22"/>
          <w:lang w:val="vi-VN"/>
        </w:rPr>
        <w:lastRenderedPageBreak/>
        <w:t>used to test the approach.</w:t>
      </w:r>
      <w:r w:rsidRPr="002659D5">
        <w:rPr>
          <w:rFonts w:hint="eastAsia"/>
          <w:color w:val="131413"/>
          <w:sz w:val="22"/>
          <w:szCs w:val="22"/>
          <w:lang w:val="vi-VN"/>
        </w:rPr>
        <w:t xml:space="preserve"> </w:t>
      </w:r>
      <w:r w:rsidRPr="002659D5">
        <w:rPr>
          <w:color w:val="131413"/>
          <w:sz w:val="22"/>
          <w:szCs w:val="22"/>
          <w:lang w:val="vi-VN"/>
        </w:rPr>
        <w:t>In recent years, Harman and McMinn [14] performed empirical study on GA-based test data generation for large-scale programs, and validated its effectiveness over other MHS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the convergence speed and </w:t>
      </w:r>
      <w:r w:rsidRPr="002659D5">
        <w:rPr>
          <w:color w:val="131413"/>
          <w:sz w:val="22"/>
          <w:szCs w:val="22"/>
          <w:lang w:val="vi-VN"/>
        </w:rPr>
        <w:lastRenderedPageBreak/>
        <w:t>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Pr="002659D5" w:rsidRDefault="002659D5" w:rsidP="00214B7C">
      <w:pPr>
        <w:ind w:firstLine="346"/>
        <w:jc w:val="both"/>
        <w:rPr>
          <w:rFonts w:eastAsia="Arial Unicode MS"/>
          <w:sz w:val="22"/>
          <w:szCs w:val="22"/>
        </w:rPr>
      </w:pPr>
      <w:r w:rsidRPr="002659D5">
        <w:rPr>
          <w:rFonts w:eastAsia="Arial Unicode MS"/>
          <w:sz w:val="22"/>
          <w:szCs w:val="22"/>
        </w:rPr>
        <w:t>Jia et al. [7]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w:t>
      </w:r>
      <w:r w:rsidRPr="002659D5">
        <w:rPr>
          <w:rFonts w:eastAsia="Arial Unicode MS"/>
          <w:sz w:val="22"/>
          <w:szCs w:val="22"/>
        </w:rPr>
        <w:lastRenderedPageBreak/>
        <w:t>of PSODGT can be further accelerated. The PSODGT is tested on four practical programs.</w:t>
      </w:r>
    </w:p>
    <w:p w:rsidR="002659D5" w:rsidRPr="002659D5" w:rsidRDefault="002659D5" w:rsidP="00214B7C">
      <w:pPr>
        <w:ind w:firstLine="346"/>
        <w:jc w:val="both"/>
        <w:rPr>
          <w:rFonts w:eastAsia="Arial Unicode MS"/>
          <w:sz w:val="22"/>
          <w:szCs w:val="22"/>
        </w:rPr>
      </w:pPr>
      <w:r w:rsidRPr="002659D5">
        <w:rPr>
          <w:rFonts w:eastAsia="Arial Unicode MS"/>
          <w:sz w:val="22"/>
          <w:szCs w:val="22"/>
        </w:rPr>
        <w:t>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approach can be divided into two 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w:t>
      </w:r>
      <w:bookmarkStart w:id="0" w:name="_GoBack"/>
      <w:bookmarkEnd w:id="0"/>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20769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73020" cy="1207745"/>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976462">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mirrorMargins/&gt;&lt;w:stylePaneFormatFilter w:val=&quot;0000&quot;/&gt;&lt;w:defaultTabStop w:val=&quot;720&quot;/&gt;&lt;w:defaultTableStyle w:sti=&quot;0&quot; w:val=&quot;Normal&quot;/&gt;&lt;w:evenAndOddHeaders/&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1F5588&quot;/&gt;&lt;wsp:rsid wsp:val=&quot;00036134&quot;/&gt;&lt;wsp:rsid wsp:val=&quot;00040D29&quot;/&gt;&lt;wsp:rsid wsp:val=&quot;000604BA&quot;/&gt;&lt;wsp:rsid wsp:val=&quot;00066C72&quot;/&gt;&lt;wsp:rsid wsp:val=&quot;00072404&quot;/&gt;&lt;wsp:rsid wsp:val=&quot;000753C8&quot;/&gt;&lt;wsp:rsid wsp:val=&quot;00081651&quot;/&gt;&lt;wsp:rsid wsp:val=&quot;000A3C84&quot;/&gt;&lt;wsp:rsid wsp:val=&quot;000B0733&quot;/&gt;&lt;wsp:rsid wsp:val=&quot;000B263B&quot;/&gt;&lt;wsp:rsid wsp:val=&quot;000B4FDD&quot;/&gt;&lt;wsp:rsid wsp:val=&quot;000C2A0F&quot;/&gt;&lt;wsp:rsid wsp:val=&quot;00105F90&quot;/&gt;&lt;wsp:rsid wsp:val=&quot;00112BDF&quot;/&gt;&lt;wsp:rsid wsp:val=&quot;001150E2&quot;/&gt;&lt;wsp:rsid wsp:val=&quot;00125EC0&quot;/&gt;&lt;wsp:rsid wsp:val=&quot;0014559E&quot;/&gt;&lt;wsp:rsid wsp:val=&quot;00174AEA&quot;/&gt;&lt;wsp:rsid wsp:val=&quot;00180CCF&quot;/&gt;&lt;wsp:rsid wsp:val=&quot;00190ECB&quot;/&gt;&lt;wsp:rsid wsp:val=&quot;001D7654&quot;/&gt;&lt;wsp:rsid wsp:val=&quot;001F2454&quot;/&gt;&lt;wsp:rsid wsp:val=&quot;001F5588&quot;/&gt;&lt;wsp:rsid wsp:val=&quot;00214B7C&quot;/&gt;&lt;wsp:rsid wsp:val=&quot;00240708&quot;/&gt;&lt;wsp:rsid wsp:val=&quot;002659D5&quot;/&gt;&lt;wsp:rsid wsp:val=&quot;0027579A&quot;/&gt;&lt;wsp:rsid wsp:val=&quot;002833B1&quot;/&gt;&lt;wsp:rsid wsp:val=&quot;0029363B&quot;/&gt;&lt;wsp:rsid wsp:val=&quot;002A145D&quot;/&gt;&lt;wsp:rsid wsp:val=&quot;002A3BD6&quot;/&gt;&lt;wsp:rsid wsp:val=&quot;002F6A8F&quot;/&gt;&lt;wsp:rsid wsp:val=&quot;003236E3&quot;/&gt;&lt;wsp:rsid wsp:val=&quot;00352EDE&quot;/&gt;&lt;wsp:rsid wsp:val=&quot;00366191&quot;/&gt;&lt;wsp:rsid wsp:val=&quot;00375229&quot;/&gt;&lt;wsp:rsid wsp:val=&quot;00383A48&quot;/&gt;&lt;wsp:rsid wsp:val=&quot;00394B64&quot;/&gt;&lt;wsp:rsid wsp:val=&quot;003C3876&quot;/&gt;&lt;wsp:rsid wsp:val=&quot;00436C2D&quot;/&gt;&lt;wsp:rsid wsp:val=&quot;0044065F&quot;/&gt;&lt;wsp:rsid wsp:val=&quot;00463861&quot;/&gt;&lt;wsp:rsid wsp:val=&quot;00467442&quot;/&gt;&lt;wsp:rsid wsp:val=&quot;00470BBD&quot;/&gt;&lt;wsp:rsid wsp:val=&quot;0048310D&quot;/&gt;&lt;wsp:rsid wsp:val=&quot;004A2082&quot;/&gt;&lt;wsp:rsid wsp:val=&quot;004B03A6&quot;/&gt;&lt;wsp:rsid wsp:val=&quot;004D7EBE&quot;/&gt;&lt;wsp:rsid wsp:val=&quot;004F2C27&quot;/&gt;&lt;wsp:rsid wsp:val=&quot;005041B5&quot;/&gt;&lt;wsp:rsid wsp:val=&quot;00511102&quot;/&gt;&lt;wsp:rsid wsp:val=&quot;00532F98&quot;/&gt;&lt;wsp:rsid wsp:val=&quot;005343A5&quot;/&gt;&lt;wsp:rsid wsp:val=&quot;00541E90&quot;/&gt;&lt;wsp:rsid wsp:val=&quot;00542BA0&quot;/&gt;&lt;wsp:rsid wsp:val=&quot;00543F2A&quot;/&gt;&lt;wsp:rsid wsp:val=&quot;005540D7&quot;/&gt;&lt;wsp:rsid wsp:val=&quot;00571670&quot;/&gt;&lt;wsp:rsid wsp:val=&quot;00591801&quot;/&gt;&lt;wsp:rsid wsp:val=&quot;005C246A&quot;/&gt;&lt;wsp:rsid wsp:val=&quot;005C6F41&quot;/&gt;&lt;wsp:rsid wsp:val=&quot;005E3680&quot;/&gt;&lt;wsp:rsid wsp:val=&quot;005E5E57&quot;/&gt;&lt;wsp:rsid wsp:val=&quot;006102ED&quot;/&gt;&lt;wsp:rsid wsp:val=&quot;00612EDE&quot;/&gt;&lt;wsp:rsid wsp:val=&quot;006365A1&quot;/&gt;&lt;wsp:rsid wsp:val=&quot;0064311B&quot;/&gt;&lt;wsp:rsid wsp:val=&quot;006A4E78&quot;/&gt;&lt;wsp:rsid wsp:val=&quot;006B29EA&quot;/&gt;&lt;wsp:rsid wsp:val=&quot;006B5499&quot;/&gt;&lt;wsp:rsid wsp:val=&quot;006C23DC&quot;/&gt;&lt;wsp:rsid wsp:val=&quot;006C7BE1&quot;/&gt;&lt;wsp:rsid wsp:val=&quot;006F459B&quot;/&gt;&lt;wsp:rsid wsp:val=&quot;006F518B&quot;/&gt;&lt;wsp:rsid wsp:val=&quot;00717D33&quot;/&gt;&lt;wsp:rsid wsp:val=&quot;007419A6&quot;/&gt;&lt;wsp:rsid wsp:val=&quot;00743AC0&quot;/&gt;&lt;wsp:rsid wsp:val=&quot;00745D23&quot;/&gt;&lt;wsp:rsid wsp:val=&quot;007471A2&quot;/&gt;&lt;wsp:rsid wsp:val=&quot;007522CE&quot;/&gt;&lt;wsp:rsid wsp:val=&quot;00764847&quot;/&gt;&lt;wsp:rsid wsp:val=&quot;00774C65&quot;/&gt;&lt;wsp:rsid wsp:val=&quot;00780313&quot;/&gt;&lt;wsp:rsid wsp:val=&quot;007930ED&quot;/&gt;&lt;wsp:rsid wsp:val=&quot;00797CA1&quot;/&gt;&lt;wsp:rsid wsp:val=&quot;007A09F5&quot;/&gt;&lt;wsp:rsid wsp:val=&quot;007B1124&quot;/&gt;&lt;wsp:rsid wsp:val=&quot;007B1DAC&quot;/&gt;&lt;wsp:rsid wsp:val=&quot;007E2C08&quot;/&gt;&lt;wsp:rsid wsp:val=&quot;008005F9&quot;/&gt;&lt;wsp:rsid wsp:val=&quot;008766D1&quot;/&gt;&lt;wsp:rsid wsp:val=&quot;008B65F1&quot;/&gt;&lt;wsp:rsid wsp:val=&quot;008D1CAC&quot;/&gt;&lt;wsp:rsid wsp:val=&quot;008D5A21&quot;/&gt;&lt;wsp:rsid wsp:val=&quot;008E1AED&quot;/&gt;&lt;wsp:rsid wsp:val=&quot;008F1D89&quot;/&gt;&lt;wsp:rsid wsp:val=&quot;008F574F&quot;/&gt;&lt;wsp:rsid wsp:val=&quot;00921D79&quot;/&gt;&lt;wsp:rsid wsp:val=&quot;00976462&quot;/&gt;&lt;wsp:rsid wsp:val=&quot;00980FAD&quot;/&gt;&lt;wsp:rsid wsp:val=&quot;00996DBF&quot;/&gt;&lt;wsp:rsid wsp:val=&quot;009C1D12&quot;/&gt;&lt;wsp:rsid wsp:val=&quot;009C351C&quot;/&gt;&lt;wsp:rsid wsp:val=&quot;00A16BD0&quot;/&gt;&lt;wsp:rsid wsp:val=&quot;00A21ADB&quot;/&gt;&lt;wsp:rsid wsp:val=&quot;00A84FD2&quot;/&gt;&lt;wsp:rsid wsp:val=&quot;00B01C3F&quot;/&gt;&lt;wsp:rsid wsp:val=&quot;00B146C3&quot;/&gt;&lt;wsp:rsid wsp:val=&quot;00B666D2&quot;/&gt;&lt;wsp:rsid wsp:val=&quot;00B7140D&quot;/&gt;&lt;wsp:rsid wsp:val=&quot;00B73824&quot;/&gt;&lt;wsp:rsid wsp:val=&quot;00B852F9&quot;/&gt;&lt;wsp:rsid wsp:val=&quot;00BB6E5C&quot;/&gt;&lt;wsp:rsid wsp:val=&quot;00BB723B&quot;/&gt;&lt;wsp:rsid wsp:val=&quot;00BC29F3&quot;/&gt;&lt;wsp:rsid wsp:val=&quot;00BC45CE&quot;/&gt;&lt;wsp:rsid wsp:val=&quot;00C03356&quot;/&gt;&lt;wsp:rsid wsp:val=&quot;00C361FC&quot;/&gt;&lt;wsp:rsid wsp:val=&quot;00C3653B&quot;/&gt;&lt;wsp:rsid wsp:val=&quot;00C40C7C&quot;/&gt;&lt;wsp:rsid wsp:val=&quot;00C41850&quot;/&gt;&lt;wsp:rsid wsp:val=&quot;00C60CAA&quot;/&gt;&lt;wsp:rsid wsp:val=&quot;00C83477&quot;/&gt;&lt;wsp:rsid wsp:val=&quot;00C8447F&quot;/&gt;&lt;wsp:rsid wsp:val=&quot;00C953A9&quot;/&gt;&lt;wsp:rsid wsp:val=&quot;00CB13D1&quot;/&gt;&lt;wsp:rsid wsp:val=&quot;00CB6CDE&quot;/&gt;&lt;wsp:rsid wsp:val=&quot;00CD40BC&quot;/&gt;&lt;wsp:rsid wsp:val=&quot;00D05C2E&quot;/&gt;&lt;wsp:rsid wsp:val=&quot;00D11661&quot;/&gt;&lt;wsp:rsid wsp:val=&quot;00D2342C&quot;/&gt;&lt;wsp:rsid wsp:val=&quot;00D776FF&quot;/&gt;&lt;wsp:rsid wsp:val=&quot;00D77837&quot;/&gt;&lt;wsp:rsid wsp:val=&quot;00D870B0&quot;/&gt;&lt;wsp:rsid wsp:val=&quot;00DA04CE&quot;/&gt;&lt;wsp:rsid wsp:val=&quot;00DA3B17&quot;/&gt;&lt;wsp:rsid wsp:val=&quot;00DC1C5F&quot;/&gt;&lt;wsp:rsid wsp:val=&quot;00E05764&quot;/&gt;&lt;wsp:rsid wsp:val=&quot;00E22F99&quot;/&gt;&lt;wsp:rsid wsp:val=&quot;00E278FA&quot;/&gt;&lt;wsp:rsid wsp:val=&quot;00E325F6&quot;/&gt;&lt;wsp:rsid wsp:val=&quot;00E94459&quot;/&gt;&lt;wsp:rsid wsp:val=&quot;00EB2BD2&quot;/&gt;&lt;wsp:rsid wsp:val=&quot;00EB3976&quot;/&gt;&lt;wsp:rsid wsp:val=&quot;00EF5196&quot;/&gt;&lt;wsp:rsid wsp:val=&quot;00F20AD4&quot;/&gt;&lt;wsp:rsid wsp:val=&quot;00F43895&quot;/&gt;&lt;wsp:rsid wsp:val=&quot;00F51D15&quot;/&gt;&lt;wsp:rsid wsp:val=&quot;00F600DC&quot;/&gt;&lt;wsp:rsid wsp:val=&quot;00F7229C&quot;/&gt;&lt;wsp:rsid wsp:val=&quot;00FA00BD&quot;/&gt;&lt;wsp:rsid wsp:val=&quot;00FA103D&quot;/&gt;&lt;wsp:rsid wsp:val=&quot;00FB36B5&quot;/&gt;&lt;wsp:rsid wsp:val=&quot;00FD610B&quot;/&gt;&lt;wsp:rsid wsp:val=&quot;00FF0329&quot;/&gt;&lt;/wsp:rsids&gt;&lt;/w:docPr&gt;&lt;w:body&gt;&lt;w:p wsp:rsidR=&quot;00000000&quot; wsp:rsidRDefault=&quot;006F459B&quot;&gt;&lt;m:oMathPara&gt;&lt;m:oMath&gt;&lt;m:r&gt;&lt;w:rPr&gt;&lt;w:rFonts w:ascii=&quot;Cambria Math&quot; w:h-ansi=&quot;Cambria Math&quot;/&gt;&lt;wx:font wx:val=&quot;Cambria Math&quot;/&gt;&lt;w:i/&gt;&lt;w:sz w:val=&quot;20&quot;/&gt;&lt;w:sz-cs w:val=&quot;20&quot;/&gt;&lt;/w:rPr&gt;&lt;m:t&gt;âˆˆ&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Pr="00976462">
        <w:rPr>
          <w:rFonts w:ascii="Times New Roman" w:hAnsi="Times New Roman" w:cs="Times New Roman"/>
          <w:position w:val="-5"/>
          <w:sz w:val="22"/>
          <w:szCs w:val="22"/>
        </w:rPr>
        <w:pict>
          <v:shape id="_x0000_i1026" type="#_x0000_t75" style="width:7.45pt;height:1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mirrorMargins/&gt;&lt;w:stylePaneFormatFilter w:val=&quot;0000&quot;/&gt;&lt;w:defaultTabStop w:val=&quot;720&quot;/&gt;&lt;w:defaultTableStyle w:sti=&quot;0&quot; w:val=&quot;Normal&quot;/&gt;&lt;w:evenAndOddHeaders/&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1F5588&quot;/&gt;&lt;wsp:rsid wsp:val=&quot;00036134&quot;/&gt;&lt;wsp:rsid wsp:val=&quot;00040D29&quot;/&gt;&lt;wsp:rsid wsp:val=&quot;000604BA&quot;/&gt;&lt;wsp:rsid wsp:val=&quot;00066C72&quot;/&gt;&lt;wsp:rsid wsp:val=&quot;00072404&quot;/&gt;&lt;wsp:rsid wsp:val=&quot;000753C8&quot;/&gt;&lt;wsp:rsid wsp:val=&quot;00081651&quot;/&gt;&lt;wsp:rsid wsp:val=&quot;000A3C84&quot;/&gt;&lt;wsp:rsid wsp:val=&quot;000B0733&quot;/&gt;&lt;wsp:rsid wsp:val=&quot;000B263B&quot;/&gt;&lt;wsp:rsid wsp:val=&quot;000B4FDD&quot;/&gt;&lt;wsp:rsid wsp:val=&quot;000C2A0F&quot;/&gt;&lt;wsp:rsid wsp:val=&quot;00105F90&quot;/&gt;&lt;wsp:rsid wsp:val=&quot;00112BDF&quot;/&gt;&lt;wsp:rsid wsp:val=&quot;001150E2&quot;/&gt;&lt;wsp:rsid wsp:val=&quot;00125EC0&quot;/&gt;&lt;wsp:rsid wsp:val=&quot;0014559E&quot;/&gt;&lt;wsp:rsid wsp:val=&quot;00174AEA&quot;/&gt;&lt;wsp:rsid wsp:val=&quot;00180CCF&quot;/&gt;&lt;wsp:rsid wsp:val=&quot;00190ECB&quot;/&gt;&lt;wsp:rsid wsp:val=&quot;001D7654&quot;/&gt;&lt;wsp:rsid wsp:val=&quot;001F2454&quot;/&gt;&lt;wsp:rsid wsp:val=&quot;001F5588&quot;/&gt;&lt;wsp:rsid wsp:val=&quot;00214B7C&quot;/&gt;&lt;wsp:rsid wsp:val=&quot;00240708&quot;/&gt;&lt;wsp:rsid wsp:val=&quot;002659D5&quot;/&gt;&lt;wsp:rsid wsp:val=&quot;0027579A&quot;/&gt;&lt;wsp:rsid wsp:val=&quot;002833B1&quot;/&gt;&lt;wsp:rsid wsp:val=&quot;0029363B&quot;/&gt;&lt;wsp:rsid wsp:val=&quot;002A145D&quot;/&gt;&lt;wsp:rsid wsp:val=&quot;002A3BD6&quot;/&gt;&lt;wsp:rsid wsp:val=&quot;002F6A8F&quot;/&gt;&lt;wsp:rsid wsp:val=&quot;003236E3&quot;/&gt;&lt;wsp:rsid wsp:val=&quot;00352EDE&quot;/&gt;&lt;wsp:rsid wsp:val=&quot;00366191&quot;/&gt;&lt;wsp:rsid wsp:val=&quot;00375229&quot;/&gt;&lt;wsp:rsid wsp:val=&quot;00383A48&quot;/&gt;&lt;wsp:rsid wsp:val=&quot;00394B64&quot;/&gt;&lt;wsp:rsid wsp:val=&quot;003C3876&quot;/&gt;&lt;wsp:rsid wsp:val=&quot;004059CC&quot;/&gt;&lt;wsp:rsid wsp:val=&quot;00436C2D&quot;/&gt;&lt;wsp:rsid wsp:val=&quot;0044065F&quot;/&gt;&lt;wsp:rsid wsp:val=&quot;00463861&quot;/&gt;&lt;wsp:rsid wsp:val=&quot;00467442&quot;/&gt;&lt;wsp:rsid wsp:val=&quot;00470BBD&quot;/&gt;&lt;wsp:rsid wsp:val=&quot;0048310D&quot;/&gt;&lt;wsp:rsid wsp:val=&quot;004A2082&quot;/&gt;&lt;wsp:rsid wsp:val=&quot;004B03A6&quot;/&gt;&lt;wsp:rsid wsp:val=&quot;004D7EBE&quot;/&gt;&lt;wsp:rsid wsp:val=&quot;004F2C27&quot;/&gt;&lt;wsp:rsid wsp:val=&quot;005041B5&quot;/&gt;&lt;wsp:rsid wsp:val=&quot;00511102&quot;/&gt;&lt;wsp:rsid wsp:val=&quot;00532F98&quot;/&gt;&lt;wsp:rsid wsp:val=&quot;005343A5&quot;/&gt;&lt;wsp:rsid wsp:val=&quot;00541E90&quot;/&gt;&lt;wsp:rsid wsp:val=&quot;00542BA0&quot;/&gt;&lt;wsp:rsid wsp:val=&quot;00543F2A&quot;/&gt;&lt;wsp:rsid wsp:val=&quot;005540D7&quot;/&gt;&lt;wsp:rsid wsp:val=&quot;00571670&quot;/&gt;&lt;wsp:rsid wsp:val=&quot;00591801&quot;/&gt;&lt;wsp:rsid wsp:val=&quot;005C246A&quot;/&gt;&lt;wsp:rsid wsp:val=&quot;005C6F41&quot;/&gt;&lt;wsp:rsid wsp:val=&quot;005E3680&quot;/&gt;&lt;wsp:rsid wsp:val=&quot;005E5E57&quot;/&gt;&lt;wsp:rsid wsp:val=&quot;006102ED&quot;/&gt;&lt;wsp:rsid wsp:val=&quot;00612EDE&quot;/&gt;&lt;wsp:rsid wsp:val=&quot;006365A1&quot;/&gt;&lt;wsp:rsid wsp:val=&quot;0064311B&quot;/&gt;&lt;wsp:rsid wsp:val=&quot;006A4E78&quot;/&gt;&lt;wsp:rsid wsp:val=&quot;006B29EA&quot;/&gt;&lt;wsp:rsid wsp:val=&quot;006B5499&quot;/&gt;&lt;wsp:rsid wsp:val=&quot;006C23DC&quot;/&gt;&lt;wsp:rsid wsp:val=&quot;006C7BE1&quot;/&gt;&lt;wsp:rsid wsp:val=&quot;006F518B&quot;/&gt;&lt;wsp:rsid wsp:val=&quot;00717D33&quot;/&gt;&lt;wsp:rsid wsp:val=&quot;007419A6&quot;/&gt;&lt;wsp:rsid wsp:val=&quot;00743AC0&quot;/&gt;&lt;wsp:rsid wsp:val=&quot;00745D23&quot;/&gt;&lt;wsp:rsid wsp:val=&quot;007471A2&quot;/&gt;&lt;wsp:rsid wsp:val=&quot;007522CE&quot;/&gt;&lt;wsp:rsid wsp:val=&quot;00764847&quot;/&gt;&lt;wsp:rsid wsp:val=&quot;00774C65&quot;/&gt;&lt;wsp:rsid wsp:val=&quot;00780313&quot;/&gt;&lt;wsp:rsid wsp:val=&quot;007930ED&quot;/&gt;&lt;wsp:rsid wsp:val=&quot;00797CA1&quot;/&gt;&lt;wsp:rsid wsp:val=&quot;007A09F5&quot;/&gt;&lt;wsp:rsid wsp:val=&quot;007B1124&quot;/&gt;&lt;wsp:rsid wsp:val=&quot;007B1DAC&quot;/&gt;&lt;wsp:rsid wsp:val=&quot;007E2C08&quot;/&gt;&lt;wsp:rsid wsp:val=&quot;008005F9&quot;/&gt;&lt;wsp:rsid wsp:val=&quot;008766D1&quot;/&gt;&lt;wsp:rsid wsp:val=&quot;008B65F1&quot;/&gt;&lt;wsp:rsid wsp:val=&quot;008D1CAC&quot;/&gt;&lt;wsp:rsid wsp:val=&quot;008D5A21&quot;/&gt;&lt;wsp:rsid wsp:val=&quot;008E1AED&quot;/&gt;&lt;wsp:rsid wsp:val=&quot;008F1D89&quot;/&gt;&lt;wsp:rsid wsp:val=&quot;008F574F&quot;/&gt;&lt;wsp:rsid wsp:val=&quot;00921D79&quot;/&gt;&lt;wsp:rsid wsp:val=&quot;00976462&quot;/&gt;&lt;wsp:rsid wsp:val=&quot;00980FAD&quot;/&gt;&lt;wsp:rsid wsp:val=&quot;00996DBF&quot;/&gt;&lt;wsp:rsid wsp:val=&quot;009C1D12&quot;/&gt;&lt;wsp:rsid wsp:val=&quot;009C351C&quot;/&gt;&lt;wsp:rsid wsp:val=&quot;00A16BD0&quot;/&gt;&lt;wsp:rsid wsp:val=&quot;00A21ADB&quot;/&gt;&lt;wsp:rsid wsp:val=&quot;00A84FD2&quot;/&gt;&lt;wsp:rsid wsp:val=&quot;00B01C3F&quot;/&gt;&lt;wsp:rsid wsp:val=&quot;00B146C3&quot;/&gt;&lt;wsp:rsid wsp:val=&quot;00B666D2&quot;/&gt;&lt;wsp:rsid wsp:val=&quot;00B7140D&quot;/&gt;&lt;wsp:rsid wsp:val=&quot;00B73824&quot;/&gt;&lt;wsp:rsid wsp:val=&quot;00B852F9&quot;/&gt;&lt;wsp:rsid wsp:val=&quot;00BB6E5C&quot;/&gt;&lt;wsp:rsid wsp:val=&quot;00BB723B&quot;/&gt;&lt;wsp:rsid wsp:val=&quot;00BC29F3&quot;/&gt;&lt;wsp:rsid wsp:val=&quot;00BC45CE&quot;/&gt;&lt;wsp:rsid wsp:val=&quot;00C03356&quot;/&gt;&lt;wsp:rsid wsp:val=&quot;00C361FC&quot;/&gt;&lt;wsp:rsid wsp:val=&quot;00C3653B&quot;/&gt;&lt;wsp:rsid wsp:val=&quot;00C40C7C&quot;/&gt;&lt;wsp:rsid wsp:val=&quot;00C41850&quot;/&gt;&lt;wsp:rsid wsp:val=&quot;00C60CAA&quot;/&gt;&lt;wsp:rsid wsp:val=&quot;00C83477&quot;/&gt;&lt;wsp:rsid wsp:val=&quot;00C8447F&quot;/&gt;&lt;wsp:rsid wsp:val=&quot;00C953A9&quot;/&gt;&lt;wsp:rsid wsp:val=&quot;00CB13D1&quot;/&gt;&lt;wsp:rsid wsp:val=&quot;00CB6CDE&quot;/&gt;&lt;wsp:rsid wsp:val=&quot;00CD40BC&quot;/&gt;&lt;wsp:rsid wsp:val=&quot;00D05C2E&quot;/&gt;&lt;wsp:rsid wsp:val=&quot;00D11661&quot;/&gt;&lt;wsp:rsid wsp:val=&quot;00D2342C&quot;/&gt;&lt;wsp:rsid wsp:val=&quot;00D776FF&quot;/&gt;&lt;wsp:rsid wsp:val=&quot;00D77837&quot;/&gt;&lt;wsp:rsid wsp:val=&quot;00D870B0&quot;/&gt;&lt;wsp:rsid wsp:val=&quot;00DA04CE&quot;/&gt;&lt;wsp:rsid wsp:val=&quot;00DA3B17&quot;/&gt;&lt;wsp:rsid wsp:val=&quot;00DC1C5F&quot;/&gt;&lt;wsp:rsid wsp:val=&quot;00E05764&quot;/&gt;&lt;wsp:rsid wsp:val=&quot;00E22F99&quot;/&gt;&lt;wsp:rsid wsp:val=&quot;00E278FA&quot;/&gt;&lt;wsp:rsid wsp:val=&quot;00E325F6&quot;/&gt;&lt;wsp:rsid wsp:val=&quot;00E94459&quot;/&gt;&lt;wsp:rsid wsp:val=&quot;00EB2BD2&quot;/&gt;&lt;wsp:rsid wsp:val=&quot;00EB3976&quot;/&gt;&lt;wsp:rsid wsp:val=&quot;00EF5196&quot;/&gt;&lt;wsp:rsid wsp:val=&quot;00F20AD4&quot;/&gt;&lt;wsp:rsid wsp:val=&quot;00F43895&quot;/&gt;&lt;wsp:rsid wsp:val=&quot;00F51D15&quot;/&gt;&lt;wsp:rsid wsp:val=&quot;00F600DC&quot;/&gt;&lt;wsp:rsid wsp:val=&quot;00F7229C&quot;/&gt;&lt;wsp:rsid wsp:val=&quot;00FA00BD&quot;/&gt;&lt;wsp:rsid wsp:val=&quot;00FA103D&quot;/&gt;&lt;wsp:rsid wsp:val=&quot;00FB36B5&quot;/&gt;&lt;wsp:rsid wsp:val=&quot;00FD610B&quot;/&gt;&lt;wsp:rsid wsp:val=&quot;00FF0329&quot;/&gt;&lt;/wsp:rsids&gt;&lt;/w:docPr&gt;&lt;w:body&gt;&lt;w:p wsp:rsidR=&quot;00000000&quot; wsp:rsidRDefault=&quot;004059CC&quot;&gt;&lt;m:oMathPara&gt;&lt;m:oMath&gt;&lt;m:r&gt;&lt;w:rPr&gt;&lt;w:rFonts w:ascii=&quot;Cambria Math&quot; w:h-ansi=&quot;Cambria Math&quot;/&gt;&lt;wx:font wx:val=&quot;Cambria Math&quot;/&gt;&lt;w:i/&gt;&lt;w:sz w:val=&quot;20&quot;/&gt;&lt;w:sz-cs w:val=&quot;20&quot;/&gt;&lt;/w:rPr&gt;&lt;m:t&gt;Ã—&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690973" cy="306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695949"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lastRenderedPageBreak/>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4B1352">
        <w:rPr>
          <w:position w:val="-5"/>
          <w:sz w:val="22"/>
          <w:szCs w:val="22"/>
        </w:rPr>
        <w:pict>
          <v:shape id="_x0000_i1027" type="#_x0000_t75" style="width:6.1pt;height:1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mirrorMargins/&gt;&lt;w:stylePaneFormatFilter w:val=&quot;0000&quot;/&gt;&lt;w:defaultTabStop w:val=&quot;720&quot;/&gt;&lt;w:defaultTableStyle w:sti=&quot;0&quot; w:val=&quot;Normal&quot;/&gt;&lt;w:evenAndOddHeaders/&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1F5588&quot;/&gt;&lt;wsp:rsid wsp:val=&quot;00036134&quot;/&gt;&lt;wsp:rsid wsp:val=&quot;00040D29&quot;/&gt;&lt;wsp:rsid wsp:val=&quot;000604BA&quot;/&gt;&lt;wsp:rsid wsp:val=&quot;00066C72&quot;/&gt;&lt;wsp:rsid wsp:val=&quot;00072404&quot;/&gt;&lt;wsp:rsid wsp:val=&quot;000753C8&quot;/&gt;&lt;wsp:rsid wsp:val=&quot;00081651&quot;/&gt;&lt;wsp:rsid wsp:val=&quot;00094014&quot;/&gt;&lt;wsp:rsid wsp:val=&quot;000A3C84&quot;/&gt;&lt;wsp:rsid wsp:val=&quot;000B0733&quot;/&gt;&lt;wsp:rsid wsp:val=&quot;000B263B&quot;/&gt;&lt;wsp:rsid wsp:val=&quot;000B4FDD&quot;/&gt;&lt;wsp:rsid wsp:val=&quot;000C2A0F&quot;/&gt;&lt;wsp:rsid wsp:val=&quot;00105F90&quot;/&gt;&lt;wsp:rsid wsp:val=&quot;00112BDF&quot;/&gt;&lt;wsp:rsid wsp:val=&quot;001150E2&quot;/&gt;&lt;wsp:rsid wsp:val=&quot;00125EC0&quot;/&gt;&lt;wsp:rsid wsp:val=&quot;0014559E&quot;/&gt;&lt;wsp:rsid wsp:val=&quot;0015573F&quot;/&gt;&lt;wsp:rsid wsp:val=&quot;00174AEA&quot;/&gt;&lt;wsp:rsid wsp:val=&quot;00180CCF&quot;/&gt;&lt;wsp:rsid wsp:val=&quot;00190ECB&quot;/&gt;&lt;wsp:rsid wsp:val=&quot;001D7654&quot;/&gt;&lt;wsp:rsid wsp:val=&quot;001F2454&quot;/&gt;&lt;wsp:rsid wsp:val=&quot;001F5588&quot;/&gt;&lt;wsp:rsid wsp:val=&quot;00214B7C&quot;/&gt;&lt;wsp:rsid wsp:val=&quot;00240708&quot;/&gt;&lt;wsp:rsid wsp:val=&quot;002659D5&quot;/&gt;&lt;wsp:rsid wsp:val=&quot;0027579A&quot;/&gt;&lt;wsp:rsid wsp:val=&quot;002833B1&quot;/&gt;&lt;wsp:rsid wsp:val=&quot;0029363B&quot;/&gt;&lt;wsp:rsid wsp:val=&quot;002A145D&quot;/&gt;&lt;wsp:rsid wsp:val=&quot;002A3BD6&quot;/&gt;&lt;wsp:rsid wsp:val=&quot;002F6A8F&quot;/&gt;&lt;wsp:rsid wsp:val=&quot;003236E3&quot;/&gt;&lt;wsp:rsid wsp:val=&quot;00352EDE&quot;/&gt;&lt;wsp:rsid wsp:val=&quot;00366191&quot;/&gt;&lt;wsp:rsid wsp:val=&quot;00375229&quot;/&gt;&lt;wsp:rsid wsp:val=&quot;00383A48&quot;/&gt;&lt;wsp:rsid wsp:val=&quot;00394B64&quot;/&gt;&lt;wsp:rsid wsp:val=&quot;003C3876&quot;/&gt;&lt;wsp:rsid wsp:val=&quot;00436C2D&quot;/&gt;&lt;wsp:rsid wsp:val=&quot;0044065F&quot;/&gt;&lt;wsp:rsid wsp:val=&quot;00463861&quot;/&gt;&lt;wsp:rsid wsp:val=&quot;00467442&quot;/&gt;&lt;wsp:rsid wsp:val=&quot;00470BBD&quot;/&gt;&lt;wsp:rsid wsp:val=&quot;0048310D&quot;/&gt;&lt;wsp:rsid wsp:val=&quot;004A2082&quot;/&gt;&lt;wsp:rsid wsp:val=&quot;004B03A6&quot;/&gt;&lt;wsp:rsid wsp:val=&quot;004B1352&quot;/&gt;&lt;wsp:rsid wsp:val=&quot;004D7EBE&quot;/&gt;&lt;wsp:rsid wsp:val=&quot;004F2C27&quot;/&gt;&lt;wsp:rsid wsp:val=&quot;005041B5&quot;/&gt;&lt;wsp:rsid wsp:val=&quot;00511102&quot;/&gt;&lt;wsp:rsid wsp:val=&quot;00532F98&quot;/&gt;&lt;wsp:rsid wsp:val=&quot;005343A5&quot;/&gt;&lt;wsp:rsid wsp:val=&quot;00541E90&quot;/&gt;&lt;wsp:rsid wsp:val=&quot;00542A53&quot;/&gt;&lt;wsp:rsid wsp:val=&quot;00542BA0&quot;/&gt;&lt;wsp:rsid wsp:val=&quot;00543F2A&quot;/&gt;&lt;wsp:rsid wsp:val=&quot;005540D7&quot;/&gt;&lt;wsp:rsid wsp:val=&quot;00571670&quot;/&gt;&lt;wsp:rsid wsp:val=&quot;00591801&quot;/&gt;&lt;wsp:rsid wsp:val=&quot;005C246A&quot;/&gt;&lt;wsp:rsid wsp:val=&quot;005C6F41&quot;/&gt;&lt;wsp:rsid wsp:val=&quot;005E3680&quot;/&gt;&lt;wsp:rsid wsp:val=&quot;005E5E57&quot;/&gt;&lt;wsp:rsid wsp:val=&quot;006102ED&quot;/&gt;&lt;wsp:rsid wsp:val=&quot;00612EDE&quot;/&gt;&lt;wsp:rsid wsp:val=&quot;006365A1&quot;/&gt;&lt;wsp:rsid wsp:val=&quot;0064311B&quot;/&gt;&lt;wsp:rsid wsp:val=&quot;006A4E78&quot;/&gt;&lt;wsp:rsid wsp:val=&quot;006B29EA&quot;/&gt;&lt;wsp:rsid wsp:val=&quot;006B5499&quot;/&gt;&lt;wsp:rsid wsp:val=&quot;006C23DC&quot;/&gt;&lt;wsp:rsid wsp:val=&quot;006C7BE1&quot;/&gt;&lt;wsp:rsid wsp:val=&quot;006F518B&quot;/&gt;&lt;wsp:rsid wsp:val=&quot;00717D33&quot;/&gt;&lt;wsp:rsid wsp:val=&quot;007419A6&quot;/&gt;&lt;wsp:rsid wsp:val=&quot;00743AC0&quot;/&gt;&lt;wsp:rsid wsp:val=&quot;00745D23&quot;/&gt;&lt;wsp:rsid wsp:val=&quot;007471A2&quot;/&gt;&lt;wsp:rsid wsp:val=&quot;007522CE&quot;/&gt;&lt;wsp:rsid wsp:val=&quot;00764847&quot;/&gt;&lt;wsp:rsid wsp:val=&quot;00774C65&quot;/&gt;&lt;wsp:rsid wsp:val=&quot;00780313&quot;/&gt;&lt;wsp:rsid wsp:val=&quot;007930ED&quot;/&gt;&lt;wsp:rsid wsp:val=&quot;00797CA1&quot;/&gt;&lt;wsp:rsid wsp:val=&quot;007A09F5&quot;/&gt;&lt;wsp:rsid wsp:val=&quot;007B1124&quot;/&gt;&lt;wsp:rsid wsp:val=&quot;007B1DAC&quot;/&gt;&lt;wsp:rsid wsp:val=&quot;007E2C08&quot;/&gt;&lt;wsp:rsid wsp:val=&quot;008005F9&quot;/&gt;&lt;wsp:rsid wsp:val=&quot;008766D1&quot;/&gt;&lt;wsp:rsid wsp:val=&quot;008B65F1&quot;/&gt;&lt;wsp:rsid wsp:val=&quot;008D1CAC&quot;/&gt;&lt;wsp:rsid wsp:val=&quot;008D5A21&quot;/&gt;&lt;wsp:rsid wsp:val=&quot;008E1AED&quot;/&gt;&lt;wsp:rsid wsp:val=&quot;008F1D89&quot;/&gt;&lt;wsp:rsid wsp:val=&quot;008F574F&quot;/&gt;&lt;wsp:rsid wsp:val=&quot;00921D79&quot;/&gt;&lt;wsp:rsid wsp:val=&quot;00976462&quot;/&gt;&lt;wsp:rsid wsp:val=&quot;00980FAD&quot;/&gt;&lt;wsp:rsid wsp:val=&quot;00996DBF&quot;/&gt;&lt;wsp:rsid wsp:val=&quot;009C1D12&quot;/&gt;&lt;wsp:rsid wsp:val=&quot;009C351C&quot;/&gt;&lt;wsp:rsid wsp:val=&quot;00A16BD0&quot;/&gt;&lt;wsp:rsid wsp:val=&quot;00A21ADB&quot;/&gt;&lt;wsp:rsid wsp:val=&quot;00A84FD2&quot;/&gt;&lt;wsp:rsid wsp:val=&quot;00B01C3F&quot;/&gt;&lt;wsp:rsid wsp:val=&quot;00B146C3&quot;/&gt;&lt;wsp:rsid wsp:val=&quot;00B666D2&quot;/&gt;&lt;wsp:rsid wsp:val=&quot;00B7140D&quot;/&gt;&lt;wsp:rsid wsp:val=&quot;00B73824&quot;/&gt;&lt;wsp:rsid wsp:val=&quot;00B852F9&quot;/&gt;&lt;wsp:rsid wsp:val=&quot;00BB6E5C&quot;/&gt;&lt;wsp:rsid wsp:val=&quot;00BB723B&quot;/&gt;&lt;wsp:rsid wsp:val=&quot;00BC29F3&quot;/&gt;&lt;wsp:rsid wsp:val=&quot;00BC45CE&quot;/&gt;&lt;wsp:rsid wsp:val=&quot;00C03356&quot;/&gt;&lt;wsp:rsid wsp:val=&quot;00C361FC&quot;/&gt;&lt;wsp:rsid wsp:val=&quot;00C3653B&quot;/&gt;&lt;wsp:rsid wsp:val=&quot;00C40C7C&quot;/&gt;&lt;wsp:rsid wsp:val=&quot;00C41850&quot;/&gt;&lt;wsp:rsid wsp:val=&quot;00C60CAA&quot;/&gt;&lt;wsp:rsid wsp:val=&quot;00C83477&quot;/&gt;&lt;wsp:rsid wsp:val=&quot;00C8447F&quot;/&gt;&lt;wsp:rsid wsp:val=&quot;00C953A9&quot;/&gt;&lt;wsp:rsid wsp:val=&quot;00CB13D1&quot;/&gt;&lt;wsp:rsid wsp:val=&quot;00CB6CDE&quot;/&gt;&lt;wsp:rsid wsp:val=&quot;00CD40BC&quot;/&gt;&lt;wsp:rsid wsp:val=&quot;00D05C2E&quot;/&gt;&lt;wsp:rsid wsp:val=&quot;00D11661&quot;/&gt;&lt;wsp:rsid wsp:val=&quot;00D2342C&quot;/&gt;&lt;wsp:rsid wsp:val=&quot;00D776FF&quot;/&gt;&lt;wsp:rsid wsp:val=&quot;00D77837&quot;/&gt;&lt;wsp:rsid wsp:val=&quot;00D870B0&quot;/&gt;&lt;wsp:rsid wsp:val=&quot;00DA04CE&quot;/&gt;&lt;wsp:rsid wsp:val=&quot;00DA3B17&quot;/&gt;&lt;wsp:rsid wsp:val=&quot;00DC1C5F&quot;/&gt;&lt;wsp:rsid wsp:val=&quot;00E05764&quot;/&gt;&lt;wsp:rsid wsp:val=&quot;00E22F99&quot;/&gt;&lt;wsp:rsid wsp:val=&quot;00E278FA&quot;/&gt;&lt;wsp:rsid wsp:val=&quot;00E325F6&quot;/&gt;&lt;wsp:rsid wsp:val=&quot;00E94459&quot;/&gt;&lt;wsp:rsid wsp:val=&quot;00EB2BD2&quot;/&gt;&lt;wsp:rsid wsp:val=&quot;00EB3976&quot;/&gt;&lt;wsp:rsid wsp:val=&quot;00EF5196&quot;/&gt;&lt;wsp:rsid wsp:val=&quot;00F20AD4&quot;/&gt;&lt;wsp:rsid wsp:val=&quot;00F43895&quot;/&gt;&lt;wsp:rsid wsp:val=&quot;00F51D15&quot;/&gt;&lt;wsp:rsid wsp:val=&quot;00F600DC&quot;/&gt;&lt;wsp:rsid wsp:val=&quot;00F7229C&quot;/&gt;&lt;wsp:rsid wsp:val=&quot;00FA00BD&quot;/&gt;&lt;wsp:rsid wsp:val=&quot;00FA103D&quot;/&gt;&lt;wsp:rsid wsp:val=&quot;00FB36B5&quot;/&gt;&lt;wsp:rsid wsp:val=&quot;00FD610B&quot;/&gt;&lt;wsp:rsid wsp:val=&quot;00FF0329&quot;/&gt;&lt;/wsp:rsids&gt;&lt;/w:docPr&gt;&lt;w:body&gt;&lt;w:p wsp:rsidR=&quot;00000000&quot; wsp:rsidRDefault=&quot;00094014&quot;&gt;&lt;m:oMathPara&gt;&lt;m:oMath&gt;&lt;m:r&gt;&lt;w:rPr&gt;&lt;w:rFonts w:ascii=&quot;Cambria Math&quot; w:h-ansi=&quot;Cambria Math&quot;/&gt;&lt;wx:font wx:val=&quot;Cambria Math&quot;/&gt;&lt;w:i/&gt;&lt;w:sz w:val=&quot;20&quot;/&gt;&lt;w:sz-cs w:val=&quot;20&quot;/&gt;&lt;/w:rPr&gt;&lt;m:t&gt;âˆˆ&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4B1352">
        <w:rPr>
          <w:position w:val="-5"/>
          <w:sz w:val="22"/>
          <w:szCs w:val="22"/>
        </w:rPr>
        <w:pict>
          <v:shape id="_x0000_i1028" type="#_x0000_t75" style="width:6.1pt;height:1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mirrorMargins/&gt;&lt;w:stylePaneFormatFilter w:val=&quot;0000&quot;/&gt;&lt;w:defaultTabStop w:val=&quot;720&quot;/&gt;&lt;w:defaultTableStyle w:sti=&quot;0&quot; w:val=&quot;Normal&quot;/&gt;&lt;w:evenAndOddHeaders/&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1F5588&quot;/&gt;&lt;wsp:rsid wsp:val=&quot;00036134&quot;/&gt;&lt;wsp:rsid wsp:val=&quot;00040D29&quot;/&gt;&lt;wsp:rsid wsp:val=&quot;000604BA&quot;/&gt;&lt;wsp:rsid wsp:val=&quot;00066C72&quot;/&gt;&lt;wsp:rsid wsp:val=&quot;00072404&quot;/&gt;&lt;wsp:rsid wsp:val=&quot;000753C8&quot;/&gt;&lt;wsp:rsid wsp:val=&quot;00081651&quot;/&gt;&lt;wsp:rsid wsp:val=&quot;000A3C84&quot;/&gt;&lt;wsp:rsid wsp:val=&quot;000B0733&quot;/&gt;&lt;wsp:rsid wsp:val=&quot;000B263B&quot;/&gt;&lt;wsp:rsid wsp:val=&quot;000B4FDD&quot;/&gt;&lt;wsp:rsid wsp:val=&quot;000C2A0F&quot;/&gt;&lt;wsp:rsid wsp:val=&quot;00105F90&quot;/&gt;&lt;wsp:rsid wsp:val=&quot;00112BDF&quot;/&gt;&lt;wsp:rsid wsp:val=&quot;001150E2&quot;/&gt;&lt;wsp:rsid wsp:val=&quot;00125EC0&quot;/&gt;&lt;wsp:rsid wsp:val=&quot;0014559E&quot;/&gt;&lt;wsp:rsid wsp:val=&quot;0015573F&quot;/&gt;&lt;wsp:rsid wsp:val=&quot;00174AEA&quot;/&gt;&lt;wsp:rsid wsp:val=&quot;00180CCF&quot;/&gt;&lt;wsp:rsid wsp:val=&quot;00190ECB&quot;/&gt;&lt;wsp:rsid wsp:val=&quot;001D7654&quot;/&gt;&lt;wsp:rsid wsp:val=&quot;001F2454&quot;/&gt;&lt;wsp:rsid wsp:val=&quot;001F5588&quot;/&gt;&lt;wsp:rsid wsp:val=&quot;00214B7C&quot;/&gt;&lt;wsp:rsid wsp:val=&quot;00240708&quot;/&gt;&lt;wsp:rsid wsp:val=&quot;002659D5&quot;/&gt;&lt;wsp:rsid wsp:val=&quot;0027579A&quot;/&gt;&lt;wsp:rsid wsp:val=&quot;002833B1&quot;/&gt;&lt;wsp:rsid wsp:val=&quot;0029363B&quot;/&gt;&lt;wsp:rsid wsp:val=&quot;002A145D&quot;/&gt;&lt;wsp:rsid wsp:val=&quot;002A3BD6&quot;/&gt;&lt;wsp:rsid wsp:val=&quot;002F6A8F&quot;/&gt;&lt;wsp:rsid wsp:val=&quot;003236E3&quot;/&gt;&lt;wsp:rsid wsp:val=&quot;00352EDE&quot;/&gt;&lt;wsp:rsid wsp:val=&quot;00366191&quot;/&gt;&lt;wsp:rsid wsp:val=&quot;00375229&quot;/&gt;&lt;wsp:rsid wsp:val=&quot;00383A48&quot;/&gt;&lt;wsp:rsid wsp:val=&quot;00394B64&quot;/&gt;&lt;wsp:rsid wsp:val=&quot;003C3876&quot;/&gt;&lt;wsp:rsid wsp:val=&quot;00436C2D&quot;/&gt;&lt;wsp:rsid wsp:val=&quot;0044065F&quot;/&gt;&lt;wsp:rsid wsp:val=&quot;00463861&quot;/&gt;&lt;wsp:rsid wsp:val=&quot;00467442&quot;/&gt;&lt;wsp:rsid wsp:val=&quot;00470BBD&quot;/&gt;&lt;wsp:rsid wsp:val=&quot;0048310D&quot;/&gt;&lt;wsp:rsid wsp:val=&quot;004A2082&quot;/&gt;&lt;wsp:rsid wsp:val=&quot;004B03A6&quot;/&gt;&lt;wsp:rsid wsp:val=&quot;004B1352&quot;/&gt;&lt;wsp:rsid wsp:val=&quot;004D7EBE&quot;/&gt;&lt;wsp:rsid wsp:val=&quot;004F2C27&quot;/&gt;&lt;wsp:rsid wsp:val=&quot;005041B5&quot;/&gt;&lt;wsp:rsid wsp:val=&quot;00511102&quot;/&gt;&lt;wsp:rsid wsp:val=&quot;00532F98&quot;/&gt;&lt;wsp:rsid wsp:val=&quot;005343A5&quot;/&gt;&lt;wsp:rsid wsp:val=&quot;00541E90&quot;/&gt;&lt;wsp:rsid wsp:val=&quot;00542A53&quot;/&gt;&lt;wsp:rsid wsp:val=&quot;00542BA0&quot;/&gt;&lt;wsp:rsid wsp:val=&quot;00543F2A&quot;/&gt;&lt;wsp:rsid wsp:val=&quot;005540D7&quot;/&gt;&lt;wsp:rsid wsp:val=&quot;00571670&quot;/&gt;&lt;wsp:rsid wsp:val=&quot;00591801&quot;/&gt;&lt;wsp:rsid wsp:val=&quot;005C246A&quot;/&gt;&lt;wsp:rsid wsp:val=&quot;005C6F41&quot;/&gt;&lt;wsp:rsid wsp:val=&quot;005E3680&quot;/&gt;&lt;wsp:rsid wsp:val=&quot;005E5E57&quot;/&gt;&lt;wsp:rsid wsp:val=&quot;006102ED&quot;/&gt;&lt;wsp:rsid wsp:val=&quot;00612EDE&quot;/&gt;&lt;wsp:rsid wsp:val=&quot;006365A1&quot;/&gt;&lt;wsp:rsid wsp:val=&quot;0064311B&quot;/&gt;&lt;wsp:rsid wsp:val=&quot;006A4E78&quot;/&gt;&lt;wsp:rsid wsp:val=&quot;006B29EA&quot;/&gt;&lt;wsp:rsid wsp:val=&quot;006B5499&quot;/&gt;&lt;wsp:rsid wsp:val=&quot;006C23DC&quot;/&gt;&lt;wsp:rsid wsp:val=&quot;006C7BE1&quot;/&gt;&lt;wsp:rsid wsp:val=&quot;006F518B&quot;/&gt;&lt;wsp:rsid wsp:val=&quot;00717D33&quot;/&gt;&lt;wsp:rsid wsp:val=&quot;007419A6&quot;/&gt;&lt;wsp:rsid wsp:val=&quot;00743AC0&quot;/&gt;&lt;wsp:rsid wsp:val=&quot;00745D23&quot;/&gt;&lt;wsp:rsid wsp:val=&quot;007471A2&quot;/&gt;&lt;wsp:rsid wsp:val=&quot;007522CE&quot;/&gt;&lt;wsp:rsid wsp:val=&quot;00764847&quot;/&gt;&lt;wsp:rsid wsp:val=&quot;00774C65&quot;/&gt;&lt;wsp:rsid wsp:val=&quot;00780313&quot;/&gt;&lt;wsp:rsid wsp:val=&quot;007930ED&quot;/&gt;&lt;wsp:rsid wsp:val=&quot;00797CA1&quot;/&gt;&lt;wsp:rsid wsp:val=&quot;007A09F5&quot;/&gt;&lt;wsp:rsid wsp:val=&quot;007B1124&quot;/&gt;&lt;wsp:rsid wsp:val=&quot;007B1DAC&quot;/&gt;&lt;wsp:rsid wsp:val=&quot;007E2C08&quot;/&gt;&lt;wsp:rsid wsp:val=&quot;008005F9&quot;/&gt;&lt;wsp:rsid wsp:val=&quot;008766D1&quot;/&gt;&lt;wsp:rsid wsp:val=&quot;008B65F1&quot;/&gt;&lt;wsp:rsid wsp:val=&quot;008D0850&quot;/&gt;&lt;wsp:rsid wsp:val=&quot;008D1CAC&quot;/&gt;&lt;wsp:rsid wsp:val=&quot;008D5A21&quot;/&gt;&lt;wsp:rsid wsp:val=&quot;008E1AED&quot;/&gt;&lt;wsp:rsid wsp:val=&quot;008F1D89&quot;/&gt;&lt;wsp:rsid wsp:val=&quot;008F574F&quot;/&gt;&lt;wsp:rsid wsp:val=&quot;00921D79&quot;/&gt;&lt;wsp:rsid wsp:val=&quot;00976462&quot;/&gt;&lt;wsp:rsid wsp:val=&quot;00980FAD&quot;/&gt;&lt;wsp:rsid wsp:val=&quot;00996DBF&quot;/&gt;&lt;wsp:rsid wsp:val=&quot;009C1D12&quot;/&gt;&lt;wsp:rsid wsp:val=&quot;009C351C&quot;/&gt;&lt;wsp:rsid wsp:val=&quot;00A16BD0&quot;/&gt;&lt;wsp:rsid wsp:val=&quot;00A21ADB&quot;/&gt;&lt;wsp:rsid wsp:val=&quot;00A84FD2&quot;/&gt;&lt;wsp:rsid wsp:val=&quot;00B01C3F&quot;/&gt;&lt;wsp:rsid wsp:val=&quot;00B146C3&quot;/&gt;&lt;wsp:rsid wsp:val=&quot;00B666D2&quot;/&gt;&lt;wsp:rsid wsp:val=&quot;00B7140D&quot;/&gt;&lt;wsp:rsid wsp:val=&quot;00B73824&quot;/&gt;&lt;wsp:rsid wsp:val=&quot;00B852F9&quot;/&gt;&lt;wsp:rsid wsp:val=&quot;00BB6E5C&quot;/&gt;&lt;wsp:rsid wsp:val=&quot;00BB723B&quot;/&gt;&lt;wsp:rsid wsp:val=&quot;00BC29F3&quot;/&gt;&lt;wsp:rsid wsp:val=&quot;00BC45CE&quot;/&gt;&lt;wsp:rsid wsp:val=&quot;00C03356&quot;/&gt;&lt;wsp:rsid wsp:val=&quot;00C361FC&quot;/&gt;&lt;wsp:rsid wsp:val=&quot;00C3653B&quot;/&gt;&lt;wsp:rsid wsp:val=&quot;00C40C7C&quot;/&gt;&lt;wsp:rsid wsp:val=&quot;00C41850&quot;/&gt;&lt;wsp:rsid wsp:val=&quot;00C60CAA&quot;/&gt;&lt;wsp:rsid wsp:val=&quot;00C83477&quot;/&gt;&lt;wsp:rsid wsp:val=&quot;00C8447F&quot;/&gt;&lt;wsp:rsid wsp:val=&quot;00C953A9&quot;/&gt;&lt;wsp:rsid wsp:val=&quot;00CB13D1&quot;/&gt;&lt;wsp:rsid wsp:val=&quot;00CB6CDE&quot;/&gt;&lt;wsp:rsid wsp:val=&quot;00CD40BC&quot;/&gt;&lt;wsp:rsid wsp:val=&quot;00D05C2E&quot;/&gt;&lt;wsp:rsid wsp:val=&quot;00D11661&quot;/&gt;&lt;wsp:rsid wsp:val=&quot;00D2342C&quot;/&gt;&lt;wsp:rsid wsp:val=&quot;00D776FF&quot;/&gt;&lt;wsp:rsid wsp:val=&quot;00D77837&quot;/&gt;&lt;wsp:rsid wsp:val=&quot;00D870B0&quot;/&gt;&lt;wsp:rsid wsp:val=&quot;00DA04CE&quot;/&gt;&lt;wsp:rsid wsp:val=&quot;00DA3B17&quot;/&gt;&lt;wsp:rsid wsp:val=&quot;00DC1C5F&quot;/&gt;&lt;wsp:rsid wsp:val=&quot;00E05764&quot;/&gt;&lt;wsp:rsid wsp:val=&quot;00E22F99&quot;/&gt;&lt;wsp:rsid wsp:val=&quot;00E278FA&quot;/&gt;&lt;wsp:rsid wsp:val=&quot;00E325F6&quot;/&gt;&lt;wsp:rsid wsp:val=&quot;00E94459&quot;/&gt;&lt;wsp:rsid wsp:val=&quot;00EB2BD2&quot;/&gt;&lt;wsp:rsid wsp:val=&quot;00EB3976&quot;/&gt;&lt;wsp:rsid wsp:val=&quot;00EF5196&quot;/&gt;&lt;wsp:rsid wsp:val=&quot;00F20AD4&quot;/&gt;&lt;wsp:rsid wsp:val=&quot;00F43895&quot;/&gt;&lt;wsp:rsid wsp:val=&quot;00F51D15&quot;/&gt;&lt;wsp:rsid wsp:val=&quot;00F600DC&quot;/&gt;&lt;wsp:rsid wsp:val=&quot;00F7229C&quot;/&gt;&lt;wsp:rsid wsp:val=&quot;00FA00BD&quot;/&gt;&lt;wsp:rsid wsp:val=&quot;00FA103D&quot;/&gt;&lt;wsp:rsid wsp:val=&quot;00FB36B5&quot;/&gt;&lt;wsp:rsid wsp:val=&quot;00FD610B&quot;/&gt;&lt;wsp:rsid wsp:val=&quot;00FF0329&quot;/&gt;&lt;/wsp:rsids&gt;&lt;/w:docPr&gt;&lt;w:body&gt;&lt;w:p wsp:rsidR=&quot;00000000&quot; wsp:rsidRDefault=&quot;008D0850&quot;&gt;&lt;m:oMathPara&gt;&lt;m:oMath&gt;&lt;m:r&gt;&lt;w:rPr&gt;&lt;w:rFonts w:ascii=&quot;Cambria Math&quot; w:h-ansi=&quot;Cambria Math&quot;/&gt;&lt;wx:font wx:val=&quot;Cambria Math&quot;/&gt;&lt;w:i/&gt;&lt;w:sz w:val=&quot;20&quot;/&gt;&lt;w:sz-cs w:val=&quot;20&quot;/&gt;&lt;/w:rPr&gt;&lt;m:t&gt;âˆˆ&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lastRenderedPageBreak/>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lastRenderedPageBreak/>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lastRenderedPageBreak/>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 xml:space="preserve">branch </w:t>
      </w:r>
      <w:r w:rsidRPr="008903BC">
        <w:rPr>
          <w:rFonts w:eastAsia="Arial Unicode MS"/>
          <w:sz w:val="22"/>
          <w:szCs w:val="22"/>
        </w:rPr>
        <w:lastRenderedPageBreak/>
        <w:t>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sectPr w:rsidR="008903BC"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Pr="008903BC">
        <w:rPr>
          <w:sz w:val="22"/>
          <w:szCs w:val="22"/>
        </w:rPr>
        <w:t xml:space="preserve"> Fitness functions for 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563"/>
      </w:tblGrid>
      <w:tr w:rsidR="009B29DA" w:rsidRPr="009B29DA" w:rsidTr="006C4D41">
        <w:trPr>
          <w:jc w:val="center"/>
        </w:trPr>
        <w:tc>
          <w:tcPr>
            <w:tcW w:w="6563"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6C4D41">
        <w:trPr>
          <w:jc w:val="center"/>
        </w:trPr>
        <w:tc>
          <w:tcPr>
            <w:tcW w:w="6563"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6C4D41">
        <w:trPr>
          <w:jc w:val="center"/>
        </w:trPr>
        <w:tc>
          <w:tcPr>
            <w:tcW w:w="6563" w:type="dxa"/>
          </w:tcPr>
          <w:p w:rsidR="009B29DA" w:rsidRPr="009B29DA" w:rsidRDefault="009B29DA" w:rsidP="007D0571">
            <w:pPr>
              <w:rPr>
                <w:sz w:val="22"/>
                <w:szCs w:val="22"/>
              </w:rPr>
            </w:pPr>
            <w:r w:rsidRPr="009B29DA">
              <w:rPr>
                <w:b/>
                <w:sz w:val="22"/>
                <w:szCs w:val="22"/>
              </w:rPr>
              <w:t>Output:</w:t>
            </w:r>
            <w:r w:rsidRPr="009B29DA">
              <w:rPr>
                <w:sz w:val="22"/>
                <w:szCs w:val="22"/>
              </w:rPr>
              <w:t xml:space="preserve"> test data for each fitness function</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lastRenderedPageBreak/>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6C4D41">
        <w:trPr>
          <w:jc w:val="center"/>
        </w:trPr>
        <w:tc>
          <w:tcPr>
            <w:tcW w:w="6563"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6C4D41">
        <w:trPr>
          <w:jc w:val="center"/>
        </w:trPr>
        <w:tc>
          <w:tcPr>
            <w:tcW w:w="6563"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We compared the coverage ability to the 4 PUT in the benchmark that did not work well</w:t>
      </w:r>
      <w:r w:rsidRPr="008D34F2">
        <w:rPr>
          <w:rFonts w:hint="eastAsia"/>
          <w:sz w:val="22"/>
          <w:szCs w:val="22"/>
        </w:rPr>
        <w:t>.</w:t>
      </w:r>
    </w:p>
    <w:p w:rsidR="00B31A43" w:rsidRDefault="00B31A43" w:rsidP="00F11666">
      <w:pPr>
        <w:spacing w:after="120"/>
        <w:jc w:val="center"/>
        <w:rPr>
          <w:sz w:val="22"/>
          <w:szCs w:val="22"/>
        </w:rPr>
      </w:pPr>
    </w:p>
    <w:p w:rsidR="008D34F2" w:rsidRPr="00F11666" w:rsidRDefault="007D0571" w:rsidP="00F11666">
      <w:pPr>
        <w:spacing w:after="12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292" w:type="dxa"/>
        <w:jc w:val="center"/>
        <w:tblInd w:w="-28" w:type="dxa"/>
        <w:tblBorders>
          <w:top w:val="single" w:sz="4" w:space="0" w:color="000000"/>
          <w:bottom w:val="single" w:sz="4" w:space="0" w:color="000000"/>
          <w:insideH w:val="single" w:sz="4" w:space="0" w:color="000000"/>
        </w:tblBorders>
        <w:tblLook w:val="04A0"/>
      </w:tblPr>
      <w:tblGrid>
        <w:gridCol w:w="1460"/>
        <w:gridCol w:w="1648"/>
        <w:gridCol w:w="1096"/>
        <w:gridCol w:w="1268"/>
        <w:gridCol w:w="3820"/>
      </w:tblGrid>
      <w:tr w:rsidR="007D0571" w:rsidRPr="00F11666" w:rsidTr="00C36BBF">
        <w:trPr>
          <w:jc w:val="center"/>
        </w:trPr>
        <w:tc>
          <w:tcPr>
            <w:tcW w:w="1461" w:type="dxa"/>
            <w:tcBorders>
              <w:bottom w:val="single" w:sz="4" w:space="0" w:color="000000"/>
            </w:tcBorders>
          </w:tcPr>
          <w:p w:rsidR="007D0571" w:rsidRPr="00C36BBF" w:rsidRDefault="007D0571" w:rsidP="007D0571">
            <w:pPr>
              <w:rPr>
                <w:b/>
                <w:sz w:val="22"/>
                <w:szCs w:val="22"/>
              </w:rPr>
            </w:pPr>
            <w:r w:rsidRPr="00C36BBF">
              <w:rPr>
                <w:b/>
                <w:sz w:val="22"/>
                <w:szCs w:val="22"/>
              </w:rPr>
              <w:t>PUT name</w:t>
            </w:r>
          </w:p>
        </w:tc>
        <w:tc>
          <w:tcPr>
            <w:tcW w:w="1678" w:type="dxa"/>
            <w:tcBorders>
              <w:bottom w:val="single" w:sz="4" w:space="0" w:color="000000"/>
            </w:tcBorders>
          </w:tcPr>
          <w:p w:rsidR="007D0571" w:rsidRPr="00C36BBF" w:rsidRDefault="007D0571" w:rsidP="007D0571">
            <w:pPr>
              <w:jc w:val="center"/>
              <w:rPr>
                <w:b/>
                <w:sz w:val="22"/>
                <w:szCs w:val="22"/>
              </w:rPr>
            </w:pPr>
            <w:r w:rsidRPr="00C36BBF">
              <w:rPr>
                <w:b/>
                <w:sz w:val="22"/>
                <w:szCs w:val="22"/>
              </w:rPr>
              <w:t>Lines of code</w:t>
            </w:r>
          </w:p>
        </w:tc>
        <w:tc>
          <w:tcPr>
            <w:tcW w:w="1060" w:type="dxa"/>
            <w:tcBorders>
              <w:bottom w:val="single" w:sz="4" w:space="0" w:color="000000"/>
            </w:tcBorders>
          </w:tcPr>
          <w:p w:rsidR="007D0571" w:rsidRPr="00C36BBF" w:rsidRDefault="007D0571" w:rsidP="007D0571">
            <w:pPr>
              <w:jc w:val="center"/>
              <w:rPr>
                <w:b/>
                <w:sz w:val="22"/>
                <w:szCs w:val="22"/>
              </w:rPr>
            </w:pPr>
            <w:r w:rsidRPr="00C36BBF">
              <w:rPr>
                <w:b/>
                <w:sz w:val="22"/>
                <w:szCs w:val="22"/>
              </w:rPr>
              <w:t>Branches</w:t>
            </w:r>
          </w:p>
        </w:tc>
        <w:tc>
          <w:tcPr>
            <w:tcW w:w="1194"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Arguments</w:t>
            </w:r>
          </w:p>
        </w:tc>
        <w:tc>
          <w:tcPr>
            <w:tcW w:w="3899" w:type="dxa"/>
            <w:tcBorders>
              <w:bottom w:val="single" w:sz="4" w:space="0" w:color="000000"/>
            </w:tcBorders>
          </w:tcPr>
          <w:p w:rsidR="007D0571" w:rsidRPr="00C36BBF" w:rsidRDefault="007D0571" w:rsidP="007D0571">
            <w:pPr>
              <w:jc w:val="center"/>
              <w:rPr>
                <w:b/>
                <w:sz w:val="22"/>
                <w:szCs w:val="22"/>
              </w:rPr>
            </w:pPr>
            <w:r w:rsidRPr="00C36BBF">
              <w:rPr>
                <w:rFonts w:ascii="Times-Roman" w:hAnsi="Times-Roman" w:cs="Times-Roman"/>
                <w:b/>
                <w:sz w:val="22"/>
                <w:szCs w:val="22"/>
              </w:rPr>
              <w:t>Description</w:t>
            </w:r>
          </w:p>
        </w:tc>
      </w:tr>
      <w:tr w:rsidR="007D0571" w:rsidRPr="00F11666" w:rsidTr="00C36BBF">
        <w:trPr>
          <w:jc w:val="center"/>
        </w:trPr>
        <w:tc>
          <w:tcPr>
            <w:tcW w:w="1461"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678" w:type="dxa"/>
            <w:tcBorders>
              <w:bottom w:val="nil"/>
            </w:tcBorders>
          </w:tcPr>
          <w:p w:rsidR="007D0571" w:rsidRPr="00F11666" w:rsidRDefault="007D0571" w:rsidP="007D0571">
            <w:pPr>
              <w:jc w:val="right"/>
              <w:rPr>
                <w:sz w:val="22"/>
                <w:szCs w:val="22"/>
              </w:rPr>
            </w:pPr>
            <w:r w:rsidRPr="00F11666">
              <w:rPr>
                <w:sz w:val="22"/>
                <w:szCs w:val="22"/>
              </w:rPr>
              <w:t>31</w:t>
            </w:r>
          </w:p>
        </w:tc>
        <w:tc>
          <w:tcPr>
            <w:tcW w:w="1060" w:type="dxa"/>
            <w:tcBorders>
              <w:bottom w:val="nil"/>
            </w:tcBorders>
          </w:tcPr>
          <w:p w:rsidR="007D0571" w:rsidRPr="00F11666" w:rsidRDefault="007D0571" w:rsidP="007D0571">
            <w:pPr>
              <w:jc w:val="right"/>
              <w:rPr>
                <w:sz w:val="22"/>
                <w:szCs w:val="22"/>
              </w:rPr>
            </w:pPr>
            <w:r w:rsidRPr="00F11666">
              <w:rPr>
                <w:sz w:val="22"/>
                <w:szCs w:val="22"/>
              </w:rPr>
              <w:t>5</w:t>
            </w:r>
          </w:p>
        </w:tc>
        <w:tc>
          <w:tcPr>
            <w:tcW w:w="1194" w:type="dxa"/>
            <w:tcBorders>
              <w:bottom w:val="nil"/>
            </w:tcBorders>
          </w:tcPr>
          <w:p w:rsidR="007D0571" w:rsidRPr="00F11666" w:rsidRDefault="007D0571" w:rsidP="007D0571">
            <w:pPr>
              <w:jc w:val="right"/>
              <w:rPr>
                <w:sz w:val="22"/>
                <w:szCs w:val="22"/>
              </w:rPr>
            </w:pPr>
            <w:r w:rsidRPr="00F11666">
              <w:rPr>
                <w:sz w:val="22"/>
                <w:szCs w:val="22"/>
              </w:rPr>
              <w:t>3</w:t>
            </w:r>
          </w:p>
        </w:tc>
        <w:tc>
          <w:tcPr>
            <w:tcW w:w="3899"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36BBF">
        <w:trPr>
          <w:jc w:val="center"/>
        </w:trPr>
        <w:tc>
          <w:tcPr>
            <w:tcW w:w="1461" w:type="dxa"/>
            <w:tcBorders>
              <w:top w:val="nil"/>
              <w:bottom w:val="nil"/>
            </w:tcBorders>
          </w:tcPr>
          <w:p w:rsidR="007D0571" w:rsidRPr="00F11666" w:rsidRDefault="009907B9" w:rsidP="007D0571">
            <w:pPr>
              <w:rPr>
                <w:sz w:val="22"/>
                <w:szCs w:val="22"/>
              </w:rPr>
            </w:pPr>
            <w:r>
              <w:rPr>
                <w:sz w:val="22"/>
                <w:szCs w:val="22"/>
              </w:rPr>
              <w:t>computeTax</w:t>
            </w:r>
          </w:p>
        </w:tc>
        <w:tc>
          <w:tcPr>
            <w:tcW w:w="1678"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60"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194"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36BBF">
        <w:trPr>
          <w:jc w:val="center"/>
        </w:trPr>
        <w:tc>
          <w:tcPr>
            <w:tcW w:w="1461"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678"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60"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194"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3899"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36BBF">
        <w:trPr>
          <w:jc w:val="center"/>
        </w:trPr>
        <w:tc>
          <w:tcPr>
            <w:tcW w:w="1461" w:type="dxa"/>
            <w:tcBorders>
              <w:top w:val="nil"/>
            </w:tcBorders>
          </w:tcPr>
          <w:p w:rsidR="007D0571" w:rsidRPr="00F11666" w:rsidRDefault="007D0571" w:rsidP="007D0571">
            <w:pPr>
              <w:rPr>
                <w:sz w:val="22"/>
                <w:szCs w:val="22"/>
              </w:rPr>
            </w:pPr>
            <w:r w:rsidRPr="00F11666">
              <w:rPr>
                <w:sz w:val="22"/>
                <w:szCs w:val="22"/>
              </w:rPr>
              <w:t>line</w:t>
            </w:r>
          </w:p>
        </w:tc>
        <w:tc>
          <w:tcPr>
            <w:tcW w:w="1678" w:type="dxa"/>
            <w:tcBorders>
              <w:top w:val="nil"/>
            </w:tcBorders>
          </w:tcPr>
          <w:p w:rsidR="007D0571" w:rsidRPr="00F11666" w:rsidRDefault="007D0571" w:rsidP="007D0571">
            <w:pPr>
              <w:jc w:val="right"/>
              <w:rPr>
                <w:sz w:val="22"/>
                <w:szCs w:val="22"/>
              </w:rPr>
            </w:pPr>
            <w:r w:rsidRPr="00F11666">
              <w:rPr>
                <w:sz w:val="22"/>
                <w:szCs w:val="22"/>
              </w:rPr>
              <w:t>92</w:t>
            </w:r>
          </w:p>
        </w:tc>
        <w:tc>
          <w:tcPr>
            <w:tcW w:w="1060" w:type="dxa"/>
            <w:tcBorders>
              <w:top w:val="nil"/>
            </w:tcBorders>
          </w:tcPr>
          <w:p w:rsidR="007D0571" w:rsidRPr="00F11666" w:rsidRDefault="007D0571" w:rsidP="007D0571">
            <w:pPr>
              <w:jc w:val="right"/>
              <w:rPr>
                <w:sz w:val="22"/>
                <w:szCs w:val="22"/>
              </w:rPr>
            </w:pPr>
            <w:r w:rsidRPr="00F11666">
              <w:rPr>
                <w:sz w:val="22"/>
                <w:szCs w:val="22"/>
              </w:rPr>
              <w:t>36</w:t>
            </w:r>
          </w:p>
        </w:tc>
        <w:tc>
          <w:tcPr>
            <w:tcW w:w="1194" w:type="dxa"/>
            <w:tcBorders>
              <w:top w:val="nil"/>
            </w:tcBorders>
          </w:tcPr>
          <w:p w:rsidR="007D0571" w:rsidRPr="00F11666" w:rsidRDefault="007D0571" w:rsidP="007D0571">
            <w:pPr>
              <w:jc w:val="right"/>
              <w:rPr>
                <w:sz w:val="22"/>
                <w:szCs w:val="22"/>
              </w:rPr>
            </w:pPr>
            <w:r w:rsidRPr="00F11666">
              <w:rPr>
                <w:sz w:val="22"/>
                <w:szCs w:val="22"/>
              </w:rPr>
              <w:t>8</w:t>
            </w:r>
          </w:p>
        </w:tc>
        <w:tc>
          <w:tcPr>
            <w:tcW w:w="3899"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8910" w:type="dxa"/>
        <w:jc w:val="center"/>
        <w:tblInd w:w="108" w:type="dxa"/>
        <w:tblBorders>
          <w:top w:val="single" w:sz="4" w:space="0" w:color="000000"/>
          <w:bottom w:val="single" w:sz="4" w:space="0" w:color="000000"/>
          <w:insideH w:val="single" w:sz="4" w:space="0" w:color="000000"/>
        </w:tblBorders>
        <w:tblLook w:val="04A0"/>
      </w:tblPr>
      <w:tblGrid>
        <w:gridCol w:w="1915"/>
        <w:gridCol w:w="1775"/>
        <w:gridCol w:w="1800"/>
        <w:gridCol w:w="1710"/>
        <w:gridCol w:w="1710"/>
      </w:tblGrid>
      <w:tr w:rsidR="00934229" w:rsidRPr="00934229" w:rsidTr="00C36BBF">
        <w:trPr>
          <w:jc w:val="center"/>
        </w:trPr>
        <w:tc>
          <w:tcPr>
            <w:tcW w:w="1915"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420"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C36BBF">
        <w:trPr>
          <w:jc w:val="center"/>
        </w:trPr>
        <w:tc>
          <w:tcPr>
            <w:tcW w:w="1915" w:type="dxa"/>
            <w:vMerge/>
            <w:tcBorders>
              <w:bottom w:val="single" w:sz="4" w:space="0" w:color="000000"/>
            </w:tcBorders>
          </w:tcPr>
          <w:p w:rsidR="00934229" w:rsidRPr="00C36BBF" w:rsidRDefault="00934229" w:rsidP="00A031E4">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C36BBF">
        <w:trPr>
          <w:jc w:val="center"/>
        </w:trPr>
        <w:tc>
          <w:tcPr>
            <w:tcW w:w="1915" w:type="dxa"/>
            <w:tcBorders>
              <w:bottom w:val="nil"/>
            </w:tcBorders>
          </w:tcPr>
          <w:p w:rsidR="00934229" w:rsidRPr="00934229" w:rsidRDefault="00934229" w:rsidP="00A031E4">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934229">
            <w:pPr>
              <w:jc w:val="right"/>
              <w:rPr>
                <w:sz w:val="22"/>
                <w:szCs w:val="22"/>
              </w:rPr>
            </w:pPr>
            <w:r w:rsidRPr="00934229">
              <w:rPr>
                <w:sz w:val="22"/>
                <w:szCs w:val="22"/>
              </w:rPr>
              <w:t>99.80</w:t>
            </w:r>
          </w:p>
        </w:tc>
        <w:tc>
          <w:tcPr>
            <w:tcW w:w="1800" w:type="dxa"/>
            <w:tcBorders>
              <w:bottom w:val="nil"/>
            </w:tcBorders>
          </w:tcPr>
          <w:p w:rsidR="00934229" w:rsidRPr="00934229" w:rsidRDefault="00934229" w:rsidP="00934229">
            <w:pPr>
              <w:jc w:val="right"/>
              <w:rPr>
                <w:sz w:val="22"/>
                <w:szCs w:val="22"/>
              </w:rPr>
            </w:pPr>
            <w:r w:rsidRPr="00934229">
              <w:rPr>
                <w:sz w:val="22"/>
                <w:szCs w:val="22"/>
              </w:rPr>
              <w:t>100.0</w:t>
            </w:r>
          </w:p>
        </w:tc>
        <w:tc>
          <w:tcPr>
            <w:tcW w:w="1710" w:type="dxa"/>
            <w:tcBorders>
              <w:bottom w:val="nil"/>
            </w:tcBorders>
          </w:tcPr>
          <w:p w:rsidR="00934229" w:rsidRPr="00934229" w:rsidRDefault="00934229" w:rsidP="00934229">
            <w:pPr>
              <w:jc w:val="right"/>
              <w:rPr>
                <w:sz w:val="22"/>
                <w:szCs w:val="22"/>
              </w:rPr>
            </w:pPr>
            <w:r w:rsidRPr="00934229">
              <w:rPr>
                <w:sz w:val="22"/>
                <w:szCs w:val="22"/>
              </w:rPr>
              <w:t>99.94</w:t>
            </w:r>
          </w:p>
        </w:tc>
        <w:tc>
          <w:tcPr>
            <w:tcW w:w="1710" w:type="dxa"/>
            <w:tcBorders>
              <w:bottom w:val="nil"/>
            </w:tcBorders>
          </w:tcPr>
          <w:p w:rsidR="00934229" w:rsidRPr="00934229" w:rsidRDefault="00934229" w:rsidP="00934229">
            <w:pPr>
              <w:jc w:val="right"/>
              <w:rPr>
                <w:sz w:val="22"/>
                <w:szCs w:val="22"/>
              </w:rPr>
            </w:pPr>
            <w:r w:rsidRPr="00934229">
              <w:rPr>
                <w:sz w:val="22"/>
                <w:szCs w:val="22"/>
              </w:rPr>
              <w:t>100.0</w:t>
            </w:r>
          </w:p>
        </w:tc>
      </w:tr>
      <w:tr w:rsidR="00934229" w:rsidRPr="00934229" w:rsidTr="00C36BBF">
        <w:trPr>
          <w:jc w:val="center"/>
        </w:trPr>
        <w:tc>
          <w:tcPr>
            <w:tcW w:w="1915" w:type="dxa"/>
            <w:tcBorders>
              <w:top w:val="nil"/>
              <w:bottom w:val="nil"/>
            </w:tcBorders>
          </w:tcPr>
          <w:p w:rsidR="00934229" w:rsidRPr="00934229" w:rsidRDefault="00934229" w:rsidP="00A031E4">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934229">
            <w:pPr>
              <w:jc w:val="right"/>
              <w:rPr>
                <w:sz w:val="22"/>
                <w:szCs w:val="22"/>
              </w:rPr>
            </w:pPr>
            <w:r w:rsidRPr="00934229">
              <w:rPr>
                <w:sz w:val="22"/>
                <w:szCs w:val="22"/>
              </w:rPr>
              <w:t>99.80</w:t>
            </w:r>
          </w:p>
        </w:tc>
        <w:tc>
          <w:tcPr>
            <w:tcW w:w="1800" w:type="dxa"/>
            <w:tcBorders>
              <w:top w:val="nil"/>
              <w:bottom w:val="nil"/>
            </w:tcBorders>
          </w:tcPr>
          <w:p w:rsidR="00934229" w:rsidRPr="00934229" w:rsidRDefault="00934229" w:rsidP="00934229">
            <w:pPr>
              <w:jc w:val="right"/>
              <w:rPr>
                <w:sz w:val="22"/>
                <w:szCs w:val="22"/>
              </w:rPr>
            </w:pPr>
            <w:r w:rsidRPr="00934229">
              <w:rPr>
                <w:sz w:val="22"/>
                <w:szCs w:val="22"/>
              </w:rPr>
              <w:t>100.0</w:t>
            </w:r>
          </w:p>
        </w:tc>
        <w:tc>
          <w:tcPr>
            <w:tcW w:w="1710" w:type="dxa"/>
            <w:tcBorders>
              <w:top w:val="nil"/>
              <w:bottom w:val="nil"/>
            </w:tcBorders>
          </w:tcPr>
          <w:p w:rsidR="00934229" w:rsidRPr="00934229" w:rsidRDefault="00934229" w:rsidP="00934229">
            <w:pPr>
              <w:jc w:val="right"/>
              <w:rPr>
                <w:sz w:val="22"/>
                <w:szCs w:val="22"/>
              </w:rPr>
            </w:pPr>
            <w:r w:rsidRPr="00934229">
              <w:rPr>
                <w:sz w:val="22"/>
                <w:szCs w:val="22"/>
              </w:rPr>
              <w:t>99.98</w:t>
            </w:r>
          </w:p>
        </w:tc>
        <w:tc>
          <w:tcPr>
            <w:tcW w:w="1710" w:type="dxa"/>
            <w:tcBorders>
              <w:top w:val="nil"/>
              <w:bottom w:val="nil"/>
            </w:tcBorders>
          </w:tcPr>
          <w:p w:rsidR="00934229" w:rsidRPr="00934229" w:rsidRDefault="00934229" w:rsidP="00934229">
            <w:pPr>
              <w:jc w:val="right"/>
              <w:rPr>
                <w:sz w:val="22"/>
                <w:szCs w:val="22"/>
              </w:rPr>
            </w:pPr>
            <w:r w:rsidRPr="00934229">
              <w:rPr>
                <w:sz w:val="22"/>
                <w:szCs w:val="22"/>
              </w:rPr>
              <w:t>100.0</w:t>
            </w:r>
          </w:p>
        </w:tc>
      </w:tr>
      <w:tr w:rsidR="00934229" w:rsidRPr="00934229" w:rsidTr="00C36BBF">
        <w:trPr>
          <w:jc w:val="center"/>
        </w:trPr>
        <w:tc>
          <w:tcPr>
            <w:tcW w:w="1915" w:type="dxa"/>
            <w:tcBorders>
              <w:top w:val="nil"/>
              <w:bottom w:val="nil"/>
            </w:tcBorders>
          </w:tcPr>
          <w:p w:rsidR="00934229" w:rsidRPr="00934229" w:rsidRDefault="00934229" w:rsidP="00A031E4">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934229">
            <w:pPr>
              <w:jc w:val="right"/>
              <w:rPr>
                <w:sz w:val="22"/>
                <w:szCs w:val="22"/>
              </w:rPr>
            </w:pPr>
            <w:r w:rsidRPr="00934229">
              <w:rPr>
                <w:sz w:val="22"/>
                <w:szCs w:val="22"/>
              </w:rPr>
              <w:t>99.10</w:t>
            </w:r>
          </w:p>
        </w:tc>
        <w:tc>
          <w:tcPr>
            <w:tcW w:w="1800" w:type="dxa"/>
            <w:tcBorders>
              <w:top w:val="nil"/>
              <w:bottom w:val="nil"/>
            </w:tcBorders>
          </w:tcPr>
          <w:p w:rsidR="00934229" w:rsidRPr="00934229" w:rsidRDefault="00934229" w:rsidP="00934229">
            <w:pPr>
              <w:jc w:val="right"/>
              <w:rPr>
                <w:sz w:val="22"/>
                <w:szCs w:val="22"/>
              </w:rPr>
            </w:pPr>
            <w:r w:rsidRPr="00934229">
              <w:rPr>
                <w:sz w:val="22"/>
                <w:szCs w:val="22"/>
              </w:rPr>
              <w:t>100.0</w:t>
            </w:r>
          </w:p>
        </w:tc>
        <w:tc>
          <w:tcPr>
            <w:tcW w:w="1710" w:type="dxa"/>
            <w:tcBorders>
              <w:top w:val="nil"/>
              <w:bottom w:val="nil"/>
            </w:tcBorders>
          </w:tcPr>
          <w:p w:rsidR="00934229" w:rsidRPr="00934229" w:rsidRDefault="00934229" w:rsidP="00934229">
            <w:pPr>
              <w:jc w:val="right"/>
              <w:rPr>
                <w:sz w:val="22"/>
                <w:szCs w:val="22"/>
              </w:rPr>
            </w:pPr>
            <w:r w:rsidRPr="00934229">
              <w:rPr>
                <w:sz w:val="22"/>
                <w:szCs w:val="22"/>
              </w:rPr>
              <w:t>99.72</w:t>
            </w:r>
          </w:p>
        </w:tc>
        <w:tc>
          <w:tcPr>
            <w:tcW w:w="1710" w:type="dxa"/>
            <w:tcBorders>
              <w:top w:val="nil"/>
              <w:bottom w:val="nil"/>
            </w:tcBorders>
          </w:tcPr>
          <w:p w:rsidR="00934229" w:rsidRPr="00934229" w:rsidRDefault="00934229" w:rsidP="00934229">
            <w:pPr>
              <w:jc w:val="right"/>
              <w:rPr>
                <w:sz w:val="22"/>
                <w:szCs w:val="22"/>
              </w:rPr>
            </w:pPr>
            <w:r w:rsidRPr="00934229">
              <w:rPr>
                <w:sz w:val="22"/>
                <w:szCs w:val="22"/>
              </w:rPr>
              <w:t>100.0</w:t>
            </w:r>
          </w:p>
        </w:tc>
      </w:tr>
      <w:tr w:rsidR="00934229" w:rsidRPr="00934229" w:rsidTr="00C36BBF">
        <w:trPr>
          <w:jc w:val="center"/>
        </w:trPr>
        <w:tc>
          <w:tcPr>
            <w:tcW w:w="1915" w:type="dxa"/>
            <w:tcBorders>
              <w:top w:val="nil"/>
            </w:tcBorders>
          </w:tcPr>
          <w:p w:rsidR="00934229" w:rsidRPr="00934229" w:rsidRDefault="00934229" w:rsidP="00A031E4">
            <w:pPr>
              <w:rPr>
                <w:sz w:val="22"/>
                <w:szCs w:val="22"/>
              </w:rPr>
            </w:pPr>
            <w:r w:rsidRPr="00934229">
              <w:rPr>
                <w:sz w:val="22"/>
                <w:szCs w:val="22"/>
              </w:rPr>
              <w:t>line</w:t>
            </w:r>
          </w:p>
        </w:tc>
        <w:tc>
          <w:tcPr>
            <w:tcW w:w="1775" w:type="dxa"/>
            <w:tcBorders>
              <w:top w:val="nil"/>
            </w:tcBorders>
          </w:tcPr>
          <w:p w:rsidR="00934229" w:rsidRPr="00934229" w:rsidRDefault="00934229" w:rsidP="00934229">
            <w:pPr>
              <w:jc w:val="right"/>
              <w:rPr>
                <w:sz w:val="22"/>
                <w:szCs w:val="22"/>
              </w:rPr>
            </w:pPr>
            <w:r w:rsidRPr="00934229">
              <w:rPr>
                <w:sz w:val="22"/>
                <w:szCs w:val="22"/>
              </w:rPr>
              <w:t>99.20</w:t>
            </w:r>
          </w:p>
        </w:tc>
        <w:tc>
          <w:tcPr>
            <w:tcW w:w="1800" w:type="dxa"/>
            <w:tcBorders>
              <w:top w:val="nil"/>
            </w:tcBorders>
          </w:tcPr>
          <w:p w:rsidR="00934229" w:rsidRPr="00934229" w:rsidRDefault="00934229" w:rsidP="00934229">
            <w:pPr>
              <w:jc w:val="right"/>
              <w:rPr>
                <w:sz w:val="22"/>
                <w:szCs w:val="22"/>
              </w:rPr>
            </w:pPr>
            <w:r w:rsidRPr="00934229">
              <w:rPr>
                <w:sz w:val="22"/>
                <w:szCs w:val="22"/>
              </w:rPr>
              <w:t>100.0</w:t>
            </w:r>
          </w:p>
        </w:tc>
        <w:tc>
          <w:tcPr>
            <w:tcW w:w="1710" w:type="dxa"/>
            <w:tcBorders>
              <w:top w:val="nil"/>
            </w:tcBorders>
          </w:tcPr>
          <w:p w:rsidR="00934229" w:rsidRPr="00934229" w:rsidRDefault="00934229" w:rsidP="00934229">
            <w:pPr>
              <w:jc w:val="right"/>
              <w:rPr>
                <w:sz w:val="22"/>
                <w:szCs w:val="22"/>
              </w:rPr>
            </w:pPr>
            <w:r w:rsidRPr="00934229">
              <w:rPr>
                <w:sz w:val="22"/>
                <w:szCs w:val="22"/>
              </w:rPr>
              <w:t>99.86</w:t>
            </w:r>
          </w:p>
        </w:tc>
        <w:tc>
          <w:tcPr>
            <w:tcW w:w="1710" w:type="dxa"/>
            <w:tcBorders>
              <w:top w:val="nil"/>
            </w:tcBorders>
          </w:tcPr>
          <w:p w:rsidR="00934229" w:rsidRPr="00934229" w:rsidRDefault="00934229" w:rsidP="00934229">
            <w:pPr>
              <w:jc w:val="right"/>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w:t>
      </w:r>
      <w:r w:rsidRPr="00F70E4A">
        <w:rPr>
          <w:sz w:val="22"/>
          <w:szCs w:val="22"/>
        </w:rPr>
        <w:lastRenderedPageBreak/>
        <w:t xml:space="preserve">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lastRenderedPageBreak/>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r>
        <w:t>P.</w:t>
      </w:r>
      <w:r w:rsidR="0036498E">
        <w:t>McMinn, “</w:t>
      </w:r>
      <w:r w:rsidR="0081470B">
        <w:t>Search-based software testing: past, present and future</w:t>
      </w:r>
      <w:r w:rsidR="0036498E">
        <w:t xml:space="preserve">”, </w:t>
      </w:r>
      <w:r w:rsidR="0081470B">
        <w:t>Proceedings of ICSE Workshop on the Search-Based Soft</w:t>
      </w:r>
      <w:r w:rsidR="0036498E">
        <w:t>ware Testing (SBST’11), pp. 153-</w:t>
      </w:r>
      <w:r w:rsidR="0081470B">
        <w:t>163 (2011)</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 xml:space="preserve">A theoretical and empirical study of search-based testing: local, </w:t>
      </w:r>
      <w:r w:rsidR="0081470B">
        <w:lastRenderedPageBreak/>
        <w:t>global, and hybrid search</w:t>
      </w:r>
      <w:r>
        <w:t xml:space="preserve">”, </w:t>
      </w:r>
      <w:r w:rsidR="0081470B">
        <w:t>IEEE Trans. Softw. Eng. 36(2), 226–247 (2010)</w:t>
      </w:r>
    </w:p>
    <w:sectPr w:rsidR="00996D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6FC" w:rsidRDefault="003066FC">
      <w:r>
        <w:separator/>
      </w:r>
    </w:p>
  </w:endnote>
  <w:endnote w:type="continuationSeparator" w:id="1">
    <w:p w:rsidR="003066FC" w:rsidRDefault="003066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1"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Default="007D057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7D057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6FC" w:rsidRDefault="003066FC">
      <w:r>
        <w:t>________</w:t>
      </w:r>
    </w:p>
  </w:footnote>
  <w:footnote w:type="continuationSeparator" w:id="1">
    <w:p w:rsidR="003066FC" w:rsidRDefault="003066FC">
      <w:r>
        <w:continuationSeparator/>
      </w:r>
    </w:p>
  </w:footnote>
  <w:footnote w:id="2">
    <w:p w:rsidR="007D0571" w:rsidRPr="0097194D" w:rsidRDefault="007D057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7D057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C414E">
      <w:rPr>
        <w:rStyle w:val="PageNumber"/>
        <w:noProof/>
        <w:sz w:val="18"/>
        <w:szCs w:val="18"/>
      </w:rPr>
      <w:t>6</w:t>
    </w:r>
    <w:r w:rsidRPr="00542BA0">
      <w:rPr>
        <w:rStyle w:val="PageNumber"/>
        <w:sz w:val="18"/>
        <w:szCs w:val="18"/>
      </w:rPr>
      <w:fldChar w:fldCharType="end"/>
    </w:r>
  </w:p>
  <w:p w:rsidR="007D0571" w:rsidRDefault="007D057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71" w:rsidRPr="00542BA0" w:rsidRDefault="007D0571"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EC414E">
      <w:rPr>
        <w:rStyle w:val="PageNumber"/>
        <w:noProof/>
        <w:sz w:val="18"/>
        <w:szCs w:val="18"/>
      </w:rPr>
      <w:t>7</w:t>
    </w:r>
    <w:r w:rsidRPr="00542BA0">
      <w:rPr>
        <w:rStyle w:val="PageNumber"/>
        <w:sz w:val="18"/>
        <w:szCs w:val="18"/>
      </w:rPr>
      <w:fldChar w:fldCharType="end"/>
    </w:r>
  </w:p>
  <w:p w:rsidR="007D0571" w:rsidRDefault="007D057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0"/>
    <w:footnote w:id="1"/>
  </w:footnotePr>
  <w:endnotePr>
    <w:endnote w:id="0"/>
    <w:endnote w:id="1"/>
  </w:endnotePr>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50EB"/>
    <w:rsid w:val="001F2454"/>
    <w:rsid w:val="001F5588"/>
    <w:rsid w:val="00214B7C"/>
    <w:rsid w:val="00232F58"/>
    <w:rsid w:val="00240708"/>
    <w:rsid w:val="00253E3C"/>
    <w:rsid w:val="002659D5"/>
    <w:rsid w:val="0026627F"/>
    <w:rsid w:val="0027579A"/>
    <w:rsid w:val="00276AC3"/>
    <w:rsid w:val="00282F68"/>
    <w:rsid w:val="002833B1"/>
    <w:rsid w:val="0029363B"/>
    <w:rsid w:val="002A145D"/>
    <w:rsid w:val="002A3BD6"/>
    <w:rsid w:val="002D7689"/>
    <w:rsid w:val="002F6A8F"/>
    <w:rsid w:val="002F6B4A"/>
    <w:rsid w:val="0030199A"/>
    <w:rsid w:val="003066FC"/>
    <w:rsid w:val="003236E3"/>
    <w:rsid w:val="0034736E"/>
    <w:rsid w:val="00352565"/>
    <w:rsid w:val="00352EDE"/>
    <w:rsid w:val="0036498E"/>
    <w:rsid w:val="00366191"/>
    <w:rsid w:val="00375229"/>
    <w:rsid w:val="00383A48"/>
    <w:rsid w:val="003915E8"/>
    <w:rsid w:val="00394B64"/>
    <w:rsid w:val="003C3876"/>
    <w:rsid w:val="00424CE3"/>
    <w:rsid w:val="00436C2D"/>
    <w:rsid w:val="0044065F"/>
    <w:rsid w:val="00463861"/>
    <w:rsid w:val="00467442"/>
    <w:rsid w:val="00470BBD"/>
    <w:rsid w:val="0048310D"/>
    <w:rsid w:val="004A2082"/>
    <w:rsid w:val="004B03A6"/>
    <w:rsid w:val="004B1352"/>
    <w:rsid w:val="004D7EBE"/>
    <w:rsid w:val="004F09EC"/>
    <w:rsid w:val="004F2C27"/>
    <w:rsid w:val="005041B5"/>
    <w:rsid w:val="00511102"/>
    <w:rsid w:val="00532F98"/>
    <w:rsid w:val="005343A5"/>
    <w:rsid w:val="00534ACB"/>
    <w:rsid w:val="00541E90"/>
    <w:rsid w:val="00542A53"/>
    <w:rsid w:val="00542BA0"/>
    <w:rsid w:val="00543F2A"/>
    <w:rsid w:val="005540D7"/>
    <w:rsid w:val="00571670"/>
    <w:rsid w:val="00591760"/>
    <w:rsid w:val="00591801"/>
    <w:rsid w:val="005C246A"/>
    <w:rsid w:val="005C6F41"/>
    <w:rsid w:val="005E2151"/>
    <w:rsid w:val="005E3680"/>
    <w:rsid w:val="005E5E57"/>
    <w:rsid w:val="00604E21"/>
    <w:rsid w:val="006102ED"/>
    <w:rsid w:val="00612EDE"/>
    <w:rsid w:val="006365A1"/>
    <w:rsid w:val="0064311B"/>
    <w:rsid w:val="0064602F"/>
    <w:rsid w:val="0066268D"/>
    <w:rsid w:val="006A3C44"/>
    <w:rsid w:val="006A4E78"/>
    <w:rsid w:val="006B29EA"/>
    <w:rsid w:val="006B5499"/>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D0571"/>
    <w:rsid w:val="007E2C08"/>
    <w:rsid w:val="007F71DD"/>
    <w:rsid w:val="008005F9"/>
    <w:rsid w:val="0081470B"/>
    <w:rsid w:val="008328CD"/>
    <w:rsid w:val="008601AA"/>
    <w:rsid w:val="008766D1"/>
    <w:rsid w:val="008903BC"/>
    <w:rsid w:val="008B65F1"/>
    <w:rsid w:val="008D1CAC"/>
    <w:rsid w:val="008D34F2"/>
    <w:rsid w:val="008D5A21"/>
    <w:rsid w:val="008E1AED"/>
    <w:rsid w:val="008F1D89"/>
    <w:rsid w:val="008F574F"/>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84FD2"/>
    <w:rsid w:val="00AA735D"/>
    <w:rsid w:val="00AB5AA2"/>
    <w:rsid w:val="00AD2460"/>
    <w:rsid w:val="00AE0310"/>
    <w:rsid w:val="00B01C3F"/>
    <w:rsid w:val="00B0492F"/>
    <w:rsid w:val="00B075CD"/>
    <w:rsid w:val="00B146C3"/>
    <w:rsid w:val="00B23DB1"/>
    <w:rsid w:val="00B31A43"/>
    <w:rsid w:val="00B666D2"/>
    <w:rsid w:val="00B7140D"/>
    <w:rsid w:val="00B73824"/>
    <w:rsid w:val="00B852F9"/>
    <w:rsid w:val="00BB6E5C"/>
    <w:rsid w:val="00BB723B"/>
    <w:rsid w:val="00BC29F3"/>
    <w:rsid w:val="00BC45CE"/>
    <w:rsid w:val="00C03356"/>
    <w:rsid w:val="00C04AA0"/>
    <w:rsid w:val="00C361FC"/>
    <w:rsid w:val="00C3653B"/>
    <w:rsid w:val="00C36BBF"/>
    <w:rsid w:val="00C40C7C"/>
    <w:rsid w:val="00C41850"/>
    <w:rsid w:val="00C60CAA"/>
    <w:rsid w:val="00C83477"/>
    <w:rsid w:val="00C8447F"/>
    <w:rsid w:val="00C953A9"/>
    <w:rsid w:val="00CB13D1"/>
    <w:rsid w:val="00CB6CDE"/>
    <w:rsid w:val="00CD05A5"/>
    <w:rsid w:val="00CD40BC"/>
    <w:rsid w:val="00D05C2E"/>
    <w:rsid w:val="00D11661"/>
    <w:rsid w:val="00D2143B"/>
    <w:rsid w:val="00D2342C"/>
    <w:rsid w:val="00D52541"/>
    <w:rsid w:val="00D66F79"/>
    <w:rsid w:val="00D73A92"/>
    <w:rsid w:val="00D776FF"/>
    <w:rsid w:val="00D77837"/>
    <w:rsid w:val="00D870B0"/>
    <w:rsid w:val="00D97D95"/>
    <w:rsid w:val="00DA04CE"/>
    <w:rsid w:val="00DA3B17"/>
    <w:rsid w:val="00DC1C5F"/>
    <w:rsid w:val="00DD13F2"/>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A00BD"/>
    <w:rsid w:val="00FA103D"/>
    <w:rsid w:val="00FB36B5"/>
    <w:rsid w:val="00FD44D1"/>
    <w:rsid w:val="00FD610B"/>
    <w:rsid w:val="00FF032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MS Mincho"/>
      <w:sz w:val="26"/>
      <w:szCs w:val="26"/>
      <w:lang w:val="en-US" w:bidi="ar-SA"/>
    </w:rPr>
  </w:style>
  <w:style w:type="character" w:customStyle="1" w:styleId="Style5Char">
    <w:name w:val="Style5 Char"/>
    <w:rPr>
      <w:rFonts w:eastAsia="MS Mincho"/>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MS Mincho"/>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MS Mincho"/>
      <w:sz w:val="19"/>
      <w:szCs w:val="19"/>
      <w:lang w:val="sv-SE" w:bidi="ar-SA"/>
    </w:rPr>
  </w:style>
  <w:style w:type="character" w:customStyle="1" w:styleId="StylenoidungTLTKCtrl4Char">
    <w:name w:val="Style noidungTLTK(Ctrl+4) + Char"/>
    <w:basedOn w:val="noidungTLTKCtrl4Char"/>
  </w:style>
  <w:style w:type="character" w:customStyle="1" w:styleId="noidungbangctrl3Char">
    <w:name w:val="noidungbang(ctrl+3) Char"/>
    <w:basedOn w:val="DefaultParagraphFont0"/>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style>
  <w:style w:type="character" w:customStyle="1" w:styleId="hps">
    <w:name w:val="hps"/>
    <w:basedOn w:val="DefaultParagraphFont0"/>
  </w:style>
  <w:style w:type="character" w:styleId="Strong">
    <w:name w:val="Strong"/>
    <w:qFormat/>
    <w:rPr>
      <w:b/>
      <w:bCs/>
      <w:lang w:val="en-US" w:bidi="ar-SA"/>
    </w:rPr>
  </w:style>
  <w:style w:type="character" w:customStyle="1" w:styleId="tomtatf8moiCharChar">
    <w:name w:val="tomtat(f8)moi Char Char"/>
    <w:basedOn w:val="DefaultParagraphFont0"/>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style>
  <w:style w:type="character" w:customStyle="1" w:styleId="hpsatn">
    <w:name w:val="hps atn"/>
    <w:basedOn w:val="DefaultParagraphFont0"/>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style>
  <w:style w:type="character" w:customStyle="1" w:styleId="tomtatf8newChar">
    <w:name w:val="tomtat(f8)new Char"/>
    <w:basedOn w:val="TOMTATF8Char"/>
  </w:style>
  <w:style w:type="character" w:customStyle="1" w:styleId="CharChar2">
    <w:name w:val=" Char Char2"/>
    <w:basedOn w:val="DefaultParagraphFont0"/>
  </w:style>
  <w:style w:type="character" w:customStyle="1" w:styleId="diachitacgiaf10moiChar">
    <w:name w:val="diachitacgia(f10)moi Char"/>
    <w:rPr>
      <w:rFonts w:eastAsia="MS Mincho"/>
      <w:bCs/>
      <w:i/>
      <w:sz w:val="21"/>
      <w:szCs w:val="21"/>
      <w:lang w:bidi="ar-SA"/>
    </w:rPr>
  </w:style>
  <w:style w:type="character" w:customStyle="1" w:styleId="CharChar11">
    <w:name w:val=" Char Char11"/>
    <w:rPr>
      <w:rFonts w:ascii="VNI-Times" w:eastAsia="MS Mincho" w:hAnsi="VNI-Times" w:cs="VNI-Times"/>
      <w:b/>
      <w:sz w:val="24"/>
      <w:szCs w:val="24"/>
      <w:lang w:val="en-US" w:bidi="ar-SA"/>
    </w:rPr>
  </w:style>
  <w:style w:type="character" w:customStyle="1" w:styleId="1Char">
    <w:name w:val="1 Char"/>
    <w:rPr>
      <w:rFonts w:ascii="VNI-Times" w:eastAsia="MS Mincho" w:hAnsi="VNI-Times" w:cs="VNI-Times"/>
      <w:b/>
      <w:bCs/>
      <w:i/>
      <w:sz w:val="22"/>
      <w:szCs w:val="22"/>
      <w:lang w:val="en-US" w:bidi="ar-SA"/>
    </w:rPr>
  </w:style>
  <w:style w:type="character" w:customStyle="1" w:styleId="TenbaiChar">
    <w:name w:val="Ten bai Char"/>
    <w:rPr>
      <w:rFonts w:ascii="VNI-Times" w:eastAsia="MS Mincho" w:hAnsi="VNI-Times" w:cs="VNI-Times"/>
      <w:i/>
      <w:sz w:val="28"/>
      <w:szCs w:val="24"/>
      <w:lang w:val="en-US" w:bidi="ar-SA"/>
    </w:rPr>
  </w:style>
  <w:style w:type="character" w:customStyle="1" w:styleId="longtext">
    <w:name w:val="long_text"/>
    <w:basedOn w:val="DefaultParagraphFont0"/>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style>
  <w:style w:type="character" w:customStyle="1" w:styleId="cap1f5Char">
    <w:name w:val="cap1(f5) Char"/>
    <w:rPr>
      <w:rFonts w:ascii="VNI-Times" w:eastAsia="MS Mincho" w:hAnsi="VNI-Times" w:cs="VNI-Times"/>
      <w:b/>
      <w:bCs/>
      <w:i/>
      <w:sz w:val="22"/>
      <w:szCs w:val="22"/>
      <w:lang w:val="pt-BR" w:bidi="ar-SA"/>
    </w:rPr>
  </w:style>
  <w:style w:type="character" w:customStyle="1" w:styleId="cap1f5mChar">
    <w:name w:val="cap1(f5)m Char"/>
    <w:basedOn w:val="cap1f5Char"/>
  </w:style>
  <w:style w:type="character" w:customStyle="1" w:styleId="Style2Char">
    <w:name w:val="Style2 Char"/>
    <w:basedOn w:val="cap1f5mChar"/>
  </w:style>
  <w:style w:type="character" w:customStyle="1" w:styleId="Style9Char">
    <w:name w:val="Style9 Char"/>
    <w:basedOn w:val="Style2Cha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style>
  <w:style w:type="character" w:customStyle="1" w:styleId="st1">
    <w:name w:val="st1"/>
    <w:basedOn w:val="DefaultParagraphFont0"/>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MS Mincho"/>
      <w:sz w:val="19"/>
      <w:szCs w:val="19"/>
      <w:lang w:val="en-US" w:bidi="ar-SA"/>
    </w:rPr>
  </w:style>
  <w:style w:type="character" w:customStyle="1" w:styleId="Style16Char">
    <w:name w:val="Style16 Char"/>
    <w:basedOn w:val="NIDUNGTLTKMICtrl4Char"/>
  </w:style>
  <w:style w:type="character" w:customStyle="1" w:styleId="Style20Char">
    <w:name w:val="Style20 Char"/>
    <w:rPr>
      <w:rFonts w:eastAsia="MS Mincho"/>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MS Mincho" w:eastAsia="MS Mincho" w:hAnsi="MS Mincho"/>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MS Mincho" w:hAnsi="VNI-Times" w:cs="VNI-Times"/>
      <w:b/>
      <w:sz w:val="28"/>
      <w:szCs w:val="24"/>
      <w:lang w:val="en-US" w:bidi="ar-SA"/>
    </w:rPr>
  </w:style>
  <w:style w:type="character" w:customStyle="1" w:styleId="CharChar3">
    <w:name w:val=" Char Char3"/>
    <w:rPr>
      <w:rFonts w:ascii="VNI-Times" w:eastAsia="MS Mincho" w:hAnsi="VNI-Times" w:cs="VNI-Times"/>
      <w:b/>
      <w:sz w:val="24"/>
      <w:szCs w:val="24"/>
      <w:u w:val="single"/>
      <w:lang w:val="en-US" w:bidi="ar-SA"/>
    </w:rPr>
  </w:style>
  <w:style w:type="character" w:customStyle="1" w:styleId="CharChar7">
    <w:name w:val=" Char Char7"/>
    <w:rPr>
      <w:rFonts w:eastAsia="MS Mincho"/>
      <w:lang w:val="en-US" w:bidi="ar-SA"/>
    </w:rPr>
  </w:style>
  <w:style w:type="character" w:customStyle="1" w:styleId="CharChar12">
    <w:name w:val=" Char Char1"/>
    <w:rPr>
      <w:rFonts w:ascii="Tahoma" w:eastAsia="MS Mincho" w:hAnsi="Tahoma" w:cs="Tahoma"/>
      <w:sz w:val="16"/>
      <w:szCs w:val="16"/>
      <w:lang w:val="en-US" w:bidi="ar-SA"/>
    </w:rPr>
  </w:style>
  <w:style w:type="character" w:customStyle="1" w:styleId="Style27Char">
    <w:name w:val="Style27 Char"/>
    <w:rPr>
      <w:rFonts w:eastAsia="MS Mincho"/>
      <w:sz w:val="22"/>
      <w:szCs w:val="22"/>
      <w:lang w:val="en-US" w:bidi="ar-SA"/>
    </w:rPr>
  </w:style>
  <w:style w:type="character" w:customStyle="1" w:styleId="CharChar120">
    <w:name w:val=" Char Char12"/>
    <w:rPr>
      <w:rFonts w:ascii="VNI-Times" w:eastAsia="MS Mincho"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MS Mincho"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MS Mincho"/>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rFonts w:eastAsia="MS Mincho"/>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MS Mincho"/>
      <w:color w:val="auto"/>
    </w:rPr>
  </w:style>
  <w:style w:type="paragraph" w:customStyle="1" w:styleId="Style33">
    <w:name w:val="Style33"/>
    <w:basedOn w:val="Style24"/>
    <w:rPr>
      <w:rFonts w:eastAsia="MS Mincho"/>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72C2-87D7-438C-BB8F-7746BB22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46</cp:revision>
  <cp:lastPrinted>2016-01-15T02:37:00Z</cp:lastPrinted>
  <dcterms:created xsi:type="dcterms:W3CDTF">2017-04-03T04:18:00Z</dcterms:created>
  <dcterms:modified xsi:type="dcterms:W3CDTF">2017-04-03T05:39:00Z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