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rPr>
          <w:rFonts w:hint="eastAsia"/>
        </w:rPr>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bookmarkStart w:id="0" w:name="_GoBack"/>
      <w:bookmarkEnd w:id="0"/>
    </w:p>
    <w:p w:rsidR="006102ED" w:rsidRPr="008E2621" w:rsidRDefault="00CD2F3B" w:rsidP="008E2621">
      <w:pPr>
        <w:pStyle w:val="Els-Abstract-text"/>
        <w:spacing w:after="120" w:line="240" w:lineRule="auto"/>
        <w:ind w:firstLine="340"/>
        <w:rPr>
          <w:rFonts w:hint="eastAsia"/>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rFonts w:hint="eastAsia"/>
          <w:color w:val="000000"/>
          <w:sz w:val="6"/>
          <w:szCs w:val="6"/>
          <w:lang w:val="en-US" w:eastAsia="ja-JP"/>
        </w:rPr>
      </w:pPr>
    </w:p>
    <w:p w:rsidR="008D5A21" w:rsidRDefault="008D5A21">
      <w:pPr>
        <w:rPr>
          <w:rFonts w:hint="eastAsia"/>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hint="eastAsia"/>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hint="eastAsia"/>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hint="eastAsia"/>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hint="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hint="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rFonts w:hint="eastAsia"/>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hint="eastAsia"/>
          <w:lang w:eastAsia="ja-JP"/>
        </w:rPr>
      </w:pPr>
      <w:r w:rsidRPr="000B4FDD">
        <w:t xml:space="preserve">The </w:t>
      </w:r>
      <w:proofErr w:type="spellStart"/>
      <w:r w:rsidRPr="000B4FDD">
        <w:t>PSO</w:t>
      </w:r>
      <w:proofErr w:type="spellEnd"/>
      <w:r w:rsidRPr="000B4FDD">
        <w:t xml:space="preserve"> algorithm is described by pseudo code as below:</w:t>
      </w:r>
    </w:p>
    <w:tbl>
      <w:tblPr>
        <w:tblW w:w="4321" w:type="dxa"/>
        <w:jc w:val="center"/>
        <w:tblInd w:w="5295" w:type="dxa"/>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3549F2">
            <w:pPr>
              <w:rPr>
                <w:rFonts w:hint="eastAsia"/>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rFonts w:hint="eastAsia"/>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rFonts w:hint="eastAsia"/>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rFonts w:hint="eastAsia"/>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rFonts w:hint="eastAsia"/>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rFonts w:hint="eastAsia"/>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w:t>
      </w:r>
      <w:r w:rsidRPr="002659D5">
        <w:rPr>
          <w:color w:val="131413"/>
          <w:sz w:val="22"/>
          <w:szCs w:val="22"/>
        </w:rPr>
        <w:lastRenderedPageBreak/>
        <w:t xml:space="preserve">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lastRenderedPageBreak/>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hint="eastAsia"/>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rFonts w:hint="eastAsia"/>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It 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14:anchorId="74FE5849" wp14:editId="5C8DED11">
            <wp:extent cx="5721453" cy="103040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18897" cy="1047955"/>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hint="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hint="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proofErr w:type="gramStart"/>
      <w:r w:rsidRPr="00383A48">
        <w:lastRenderedPageBreak/>
        <w:t>visualizing</w:t>
      </w:r>
      <w:proofErr w:type="gramEnd"/>
      <w:r w:rsidRPr="00383A48">
        <w:t xml:space="preserve">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hint="eastAsia"/>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hint="eastAsia"/>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hint="eastAsia"/>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hint="eastAsia"/>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hint="eastAsia"/>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hint="eastAsia"/>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rFonts w:hint="eastAsia"/>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hint="eastAsia"/>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3549F2">
            <w:pPr>
              <w:pStyle w:val="Default"/>
              <w:jc w:val="both"/>
              <w:rPr>
                <w:rFonts w:ascii="Times New Roman" w:eastAsiaTheme="minorEastAsia" w:hAnsi="Times New Roman" w:cs="Times New Roman" w:hint="eastAsia"/>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hint="eastAsia"/>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rFonts w:hint="eastAsia"/>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D6663F" w:rsidRDefault="00D6663F" w:rsidP="003549F2">
            <w:pPr>
              <w:jc w:val="both"/>
              <w:rPr>
                <w:rFonts w:hint="eastAsia"/>
                <w:sz w:val="22"/>
                <w:szCs w:val="22"/>
                <w:lang w:eastAsia="ja-JP"/>
              </w:rPr>
            </w:pPr>
            <w:r>
              <w:rPr>
                <w:sz w:val="22"/>
                <w:szCs w:val="22"/>
              </w:rPr>
              <w:t xml:space="preserve">5: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decision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9: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rFonts w:hint="eastAsia"/>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proofErr w:type="gramStart"/>
      <w:r w:rsidRPr="00DD13F2">
        <w:rPr>
          <w:rFonts w:ascii="Times New Roman" w:hAnsi="Times New Roman" w:cs="Times New Roman"/>
          <w:b w:val="0"/>
          <w:sz w:val="22"/>
          <w:szCs w:val="22"/>
        </w:rPr>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proofErr w:type="gramEnd"/>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w:t>
      </w:r>
      <w:r w:rsidRPr="00DD13F2">
        <w:rPr>
          <w:rFonts w:ascii="Times New Roman" w:eastAsia="Arial Unicode MS" w:hAnsi="Times New Roman" w:cs="Times New Roman"/>
          <w:b w:val="0"/>
          <w:sz w:val="22"/>
          <w:szCs w:val="22"/>
        </w:rPr>
        <w:lastRenderedPageBreak/>
        <w:t xml:space="preserve">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w:t>
      </w:r>
      <w:r w:rsidRPr="00DD13F2">
        <w:rPr>
          <w:rFonts w:ascii="Times New Roman" w:eastAsia="Arial Unicode MS" w:hAnsi="Times New Roman" w:cs="Times New Roman"/>
          <w:b w:val="0"/>
          <w:sz w:val="22"/>
          <w:szCs w:val="22"/>
        </w:rPr>
        <w:lastRenderedPageBreak/>
        <w:t xml:space="preserve">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4ADE83E2" wp14:editId="557664F8">
            <wp:extent cx="3684896" cy="2033517"/>
            <wp:effectExtent l="0" t="0" r="0" b="50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035814"/>
                    </a:xfrm>
                    <a:prstGeom prst="rect">
                      <a:avLst/>
                    </a:prstGeom>
                    <a:noFill/>
                    <a:ln w="9525">
                      <a:noFill/>
                      <a:miter lim="800000"/>
                      <a:headEnd/>
                      <a:tailEnd/>
                    </a:ln>
                  </pic:spPr>
                </pic:pic>
              </a:graphicData>
            </a:graphic>
          </wp:inline>
        </w:drawing>
      </w:r>
    </w:p>
    <w:p w:rsidR="00E169A1" w:rsidRDefault="00E169A1" w:rsidP="00E169A1">
      <w:pPr>
        <w:spacing w:before="120"/>
        <w:jc w:val="center"/>
        <w:rPr>
          <w:rFonts w:ascii="Courier New" w:hAnsi="Courier New" w:cs="Courier New"/>
          <w:sz w:val="18"/>
          <w:szCs w:val="18"/>
        </w:rPr>
        <w:sectPr w:rsidR="00E169A1" w:rsidSect="00E169A1">
          <w:type w:val="continuous"/>
          <w:pgSz w:w="11906" w:h="16838"/>
          <w:pgMar w:top="2102" w:right="1418" w:bottom="1987" w:left="1418" w:header="1411" w:footer="1411" w:gutter="0"/>
          <w:cols w:space="566"/>
          <w:docGrid w:linePitch="360"/>
        </w:sect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C5374D" w:rsidRPr="00DD13F2" w:rsidRDefault="00C5374D" w:rsidP="008E2481">
      <w:pPr>
        <w:pStyle w:val="Heading2"/>
        <w:spacing w:before="120"/>
        <w:rPr>
          <w:rFonts w:ascii="Times New Roman" w:eastAsia="Arial Unicode MS" w:hAnsi="Times New Roman" w:cs="Times New Roman"/>
          <w:b w:val="0"/>
          <w:sz w:val="22"/>
          <w:szCs w:val="22"/>
        </w:rPr>
      </w:pPr>
      <w:proofErr w:type="gramStart"/>
      <w:r w:rsidRPr="00DD13F2">
        <w:rPr>
          <w:rFonts w:ascii="Times New Roman" w:eastAsia="Arial Unicode MS" w:hAnsi="Times New Roman" w:cs="Times New Roman"/>
          <w:b w:val="0"/>
          <w:sz w:val="22"/>
          <w:szCs w:val="22"/>
        </w:rPr>
        <w:lastRenderedPageBreak/>
        <w:t>the</w:t>
      </w:r>
      <w:proofErr w:type="gramEnd"/>
      <w:r w:rsidRPr="00DD13F2">
        <w:rPr>
          <w:rFonts w:ascii="Times New Roman" w:eastAsia="Arial Unicode MS" w:hAnsi="Times New Roman" w:cs="Times New Roman"/>
          <w:b w:val="0"/>
          <w:sz w:val="22"/>
          <w:szCs w:val="22"/>
        </w:rPr>
        <w:t xml:space="preserv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2B6A4B" w:rsidRPr="0066268D" w:rsidRDefault="002B6A4B" w:rsidP="00B722C3">
      <w:pPr>
        <w:pStyle w:val="Heading2"/>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p w:rsidR="00FF20CB" w:rsidRPr="008903BC" w:rsidRDefault="00FF20CB" w:rsidP="00FF20CB">
      <w:pPr>
        <w:ind w:firstLine="346"/>
        <w:jc w:val="both"/>
        <w:rPr>
          <w:sz w:val="22"/>
          <w:szCs w:val="22"/>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Pr="008D34F2" w:rsidRDefault="009D5BAC" w:rsidP="009D5BAC">
      <w:pPr>
        <w:ind w:firstLine="346"/>
        <w:jc w:val="both"/>
        <w:rPr>
          <w:rFonts w:eastAsia="Arial Unicode MS"/>
          <w:sz w:val="22"/>
          <w:szCs w:val="22"/>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8A4085" w:rsidRPr="007167F0" w:rsidRDefault="008A4085" w:rsidP="003C2EE8">
      <w:pPr>
        <w:pStyle w:val="Heading2"/>
        <w:spacing w:before="120"/>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8A4085">
      <w:pPr>
        <w:jc w:val="both"/>
        <w:rPr>
          <w:sz w:val="22"/>
          <w:szCs w:val="22"/>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1219E0" w:rsidRPr="008D34F2" w:rsidRDefault="001219E0" w:rsidP="001219E0">
      <w:pPr>
        <w:ind w:firstLine="346"/>
        <w:jc w:val="both"/>
        <w:rPr>
          <w:sz w:val="22"/>
          <w:szCs w:val="22"/>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1219E0" w:rsidRPr="008D34F2" w:rsidRDefault="001219E0" w:rsidP="001219E0">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w:t>
      </w:r>
      <w:r w:rsidRPr="008D34F2">
        <w:rPr>
          <w:rFonts w:eastAsia="Arial Unicode MS"/>
          <w:sz w:val="22"/>
          <w:szCs w:val="22"/>
        </w:rPr>
        <w:lastRenderedPageBreak/>
        <w:t xml:space="preserve">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hint="eastAsia"/>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p>
    <w:p w:rsidR="000F396E" w:rsidRPr="008D34F2" w:rsidRDefault="000F396E" w:rsidP="000F396E">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461BAE" w:rsidRPr="00934229" w:rsidRDefault="000F396E" w:rsidP="00461BAE">
      <w:pPr>
        <w:spacing w:before="120"/>
        <w:jc w:val="both"/>
        <w:rPr>
          <w:sz w:val="22"/>
          <w:szCs w:val="22"/>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 xml:space="preserve">s paper </w:t>
      </w:r>
      <w:r w:rsidRPr="008D34F2">
        <w:rPr>
          <w:rFonts w:hint="eastAsia"/>
          <w:sz w:val="22"/>
          <w:szCs w:val="22"/>
        </w:rPr>
        <w:lastRenderedPageBreak/>
        <w:t>[9]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Pr>
          <w:sz w:val="22"/>
          <w:szCs w:val="22"/>
        </w:rPr>
        <w:t>.</w:t>
      </w:r>
      <w:r w:rsidR="00461BAE" w:rsidRPr="00461BAE">
        <w:rPr>
          <w:sz w:val="22"/>
          <w:szCs w:val="22"/>
        </w:rPr>
        <w:t xml:space="preserve"> </w:t>
      </w:r>
      <w:r w:rsidR="00461BAE" w:rsidRPr="00934229">
        <w:rPr>
          <w:sz w:val="22"/>
          <w:szCs w:val="22"/>
        </w:rPr>
        <w:t xml:space="preserve">The two criteria to be compared </w:t>
      </w:r>
      <w:r w:rsidR="00461BAE" w:rsidRPr="00934229">
        <w:rPr>
          <w:rFonts w:hint="eastAsia"/>
          <w:sz w:val="22"/>
          <w:szCs w:val="22"/>
        </w:rPr>
        <w:t xml:space="preserve">with </w:t>
      </w:r>
      <w:r w:rsidR="00461BAE" w:rsidRPr="00934229">
        <w:rPr>
          <w:sz w:val="22"/>
          <w:szCs w:val="22"/>
        </w:rPr>
        <w:t>Mao’s result [9] are:</w:t>
      </w:r>
    </w:p>
    <w:p w:rsidR="00461BAE" w:rsidRPr="00934229"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461BAE" w:rsidRPr="00934229" w:rsidRDefault="00461BAE" w:rsidP="00461BAE">
      <w:pPr>
        <w:ind w:firstLine="346"/>
        <w:jc w:val="both"/>
        <w:rPr>
          <w:sz w:val="22"/>
          <w:szCs w:val="22"/>
        </w:rPr>
      </w:pPr>
      <w:r w:rsidRPr="00934229">
        <w:rPr>
          <w:sz w:val="22"/>
          <w:szCs w:val="22"/>
        </w:rPr>
        <w:t>The detail results of the comparison with PUT benchmark used by Mao [9] in 2 criteria are shown in the following table:</w:t>
      </w:r>
    </w:p>
    <w:p w:rsidR="000F396E" w:rsidRDefault="000F396E" w:rsidP="000F396E">
      <w:pPr>
        <w:spacing w:after="120"/>
        <w:jc w:val="both"/>
        <w:rPr>
          <w:sz w:val="22"/>
          <w:szCs w:val="22"/>
        </w:rPr>
        <w:sectPr w:rsidR="000F396E" w:rsidSect="00996DBF">
          <w:type w:val="continuous"/>
          <w:pgSz w:w="11906" w:h="16838"/>
          <w:pgMar w:top="2102" w:right="1418" w:bottom="1987" w:left="1418" w:header="1411" w:footer="1411" w:gutter="0"/>
          <w:cols w:num="2" w:space="566"/>
          <w:docGrid w:linePitch="360"/>
        </w:sectPr>
      </w:pPr>
    </w:p>
    <w:p w:rsidR="00AE4A8B" w:rsidRPr="00141361" w:rsidRDefault="00AE4A8B" w:rsidP="00AE4A8B">
      <w:pPr>
        <w:pStyle w:val="Default"/>
        <w:jc w:val="both"/>
        <w:rPr>
          <w:rFonts w:ascii="Times New Roman" w:hAnsi="Times New Roman" w:cs="Times New Roman"/>
          <w:sz w:val="22"/>
          <w:szCs w:val="22"/>
        </w:rPr>
      </w:pPr>
    </w:p>
    <w:p w:rsidR="00AE4A8B" w:rsidRDefault="00AE4A8B" w:rsidP="00AE4A8B">
      <w:pPr>
        <w:pStyle w:val="Default"/>
        <w:jc w:val="both"/>
        <w:rPr>
          <w:rFonts w:ascii="Times New Roman" w:hAnsi="Times New Roman" w:cs="Times New Roman"/>
          <w:b/>
          <w:sz w:val="22"/>
          <w:szCs w:val="22"/>
        </w:rPr>
      </w:pPr>
    </w:p>
    <w:p w:rsidR="00457B82" w:rsidRPr="00E86F5F" w:rsidRDefault="00457B82" w:rsidP="003C65AB">
      <w:pPr>
        <w:pStyle w:val="Style22"/>
        <w:spacing w:before="0" w:after="0" w:line="240" w:lineRule="auto"/>
        <w:ind w:firstLine="0"/>
        <w:rPr>
          <w:rFonts w:eastAsiaTheme="minorEastAsia" w:hint="eastAsia"/>
          <w:kern w:val="1"/>
          <w:lang w:eastAsia="ja-JP"/>
        </w:rPr>
        <w:sectPr w:rsidR="00457B82" w:rsidRPr="00E86F5F" w:rsidSect="00FA00BD">
          <w:type w:val="continuous"/>
          <w:pgSz w:w="11906" w:h="16838"/>
          <w:pgMar w:top="2102" w:right="1418" w:bottom="1987" w:left="1418" w:header="1411" w:footer="1411" w:gutter="0"/>
          <w:cols w:num="2" w:space="561"/>
          <w:docGrid w:linePitch="360"/>
        </w:sectPr>
      </w:pPr>
    </w:p>
    <w:p w:rsidR="00B722C3" w:rsidRPr="008328CD" w:rsidRDefault="00B722C3" w:rsidP="00B722C3">
      <w:pPr>
        <w:ind w:firstLine="346"/>
        <w:jc w:val="both"/>
        <w:rPr>
          <w:sz w:val="22"/>
          <w:szCs w:val="22"/>
        </w:rPr>
      </w:pPr>
      <w:r>
        <w:rPr>
          <w:sz w:val="22"/>
          <w:szCs w:val="22"/>
        </w:rPr>
        <w:lastRenderedPageBreak/>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B722C3" w:rsidRPr="00F70E4A" w:rsidRDefault="00B722C3" w:rsidP="00B722C3">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B722C3" w:rsidRPr="00F70E4A" w:rsidRDefault="00B722C3" w:rsidP="00B722C3">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w:t>
      </w:r>
      <w:r w:rsidRPr="00F70E4A">
        <w:rPr>
          <w:sz w:val="22"/>
          <w:szCs w:val="22"/>
        </w:rPr>
        <w:lastRenderedPageBreak/>
        <w:t xml:space="preserve">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B722C3" w:rsidRPr="00F70E4A" w:rsidRDefault="00B722C3" w:rsidP="00B722C3">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 </w:t>
      </w:r>
    </w:p>
    <w:p w:rsidR="00B722C3" w:rsidRPr="00044AAA" w:rsidRDefault="00B722C3" w:rsidP="00B722C3">
      <w:pPr>
        <w:pStyle w:val="Style23"/>
      </w:pPr>
      <w:r w:rsidRPr="00044AAA">
        <w:t>References</w:t>
      </w:r>
    </w:p>
    <w:p w:rsidR="00B722C3" w:rsidRDefault="00B722C3" w:rsidP="00B722C3">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B722C3" w:rsidRDefault="00B722C3" w:rsidP="00B722C3">
      <w:pPr>
        <w:pStyle w:val="NIDUNGTLTKMICtrl4"/>
        <w:ind w:left="572" w:hanging="459"/>
      </w:pPr>
      <w:r>
        <w:lastRenderedPageBreak/>
        <w:t xml:space="preserve">G. J. Myers,  “The Art of Software Testing”, 2nd edition, John Wiley &amp; Sons </w:t>
      </w:r>
      <w:proofErr w:type="spellStart"/>
      <w:r>
        <w:t>Inc</w:t>
      </w:r>
      <w:proofErr w:type="spellEnd"/>
      <w:r>
        <w:t xml:space="preserve"> (2004)</w:t>
      </w:r>
    </w:p>
    <w:p w:rsidR="00B722C3" w:rsidRDefault="00B722C3" w:rsidP="00B722C3">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B722C3" w:rsidRDefault="00B722C3" w:rsidP="00B722C3">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B722C3" w:rsidRDefault="00B722C3" w:rsidP="00B722C3">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B722C3" w:rsidRDefault="00B722C3" w:rsidP="00B722C3">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B722C3" w:rsidRDefault="00B722C3" w:rsidP="00B722C3">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B722C3" w:rsidRDefault="00B722C3" w:rsidP="00B722C3">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B722C3" w:rsidRDefault="00B722C3" w:rsidP="00B722C3">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B722C3" w:rsidRDefault="00B722C3" w:rsidP="00B722C3">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B722C3" w:rsidRDefault="00B722C3" w:rsidP="00B722C3">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B722C3" w:rsidRDefault="00B722C3" w:rsidP="00B722C3">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B722C3" w:rsidRDefault="00B722C3" w:rsidP="00B722C3">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B722C3" w:rsidRDefault="00B722C3" w:rsidP="00B722C3">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B722C3" w:rsidRDefault="00B722C3" w:rsidP="00B722C3">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B722C3" w:rsidRDefault="00B722C3" w:rsidP="00B722C3">
      <w:pPr>
        <w:pStyle w:val="NIDUNGTLTKMICtrl4"/>
        <w:ind w:left="572" w:hanging="459"/>
      </w:pPr>
      <w:r>
        <w:lastRenderedPageBreak/>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B722C3" w:rsidRDefault="00B722C3" w:rsidP="00B722C3">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B722C3" w:rsidRDefault="00B722C3" w:rsidP="00B722C3">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B722C3" w:rsidRDefault="00B722C3" w:rsidP="00B722C3">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B722C3" w:rsidRDefault="00B722C3" w:rsidP="00B722C3">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B722C3" w:rsidRDefault="00B722C3" w:rsidP="00B722C3">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B722C3" w:rsidRDefault="00B722C3" w:rsidP="00B722C3">
      <w:pPr>
        <w:pStyle w:val="NIDUNGTLTKMICtrl4"/>
        <w:ind w:left="572" w:hanging="459"/>
      </w:pPr>
      <w:r>
        <w:t>G. M. Michael, M. Schatz, “Generating software test data by evolution”, IEEE Transactions on Software Engineering, vol. 27, 1085--1110 (2001).</w:t>
      </w:r>
    </w:p>
    <w:p w:rsidR="00B722C3" w:rsidRDefault="00B722C3" w:rsidP="00B722C3">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B722C3" w:rsidRDefault="00B722C3" w:rsidP="00B722C3">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B722C3" w:rsidRDefault="00B722C3" w:rsidP="00B722C3">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B722C3" w:rsidRDefault="00B722C3" w:rsidP="00B722C3">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w:t>
      </w:r>
      <w:r>
        <w:lastRenderedPageBreak/>
        <w:t xml:space="preserve">test des </w:t>
      </w:r>
      <w:proofErr w:type="spellStart"/>
      <w:r>
        <w:t>logiciels</w:t>
      </w:r>
      <w:proofErr w:type="spellEnd"/>
      <w:r>
        <w:t>)”, 5th International Conference on Software Engineering and its Applications, pp. 625--636. Toulouse, France (1992).</w:t>
      </w:r>
    </w:p>
    <w:p w:rsidR="00B722C3" w:rsidRDefault="00B722C3" w:rsidP="00B722C3">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Harmen, “Suitability of Evolutionary Algorithms for Evolutionary Testing”, 26th International Computer Software and Applications Conference on Prolonging Software Life: </w:t>
      </w:r>
      <w:r>
        <w:lastRenderedPageBreak/>
        <w:t>Development and Redevelopment. IEEE Computer Society, Washington (2002).</w:t>
      </w:r>
    </w:p>
    <w:p w:rsidR="00B722C3" w:rsidRDefault="00B722C3" w:rsidP="00B722C3">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1F2454" w:rsidRPr="003E027D" w:rsidRDefault="001F2454" w:rsidP="00717D33">
      <w:pPr>
        <w:pStyle w:val="Style22"/>
        <w:spacing w:line="300" w:lineRule="atLeast"/>
        <w:ind w:firstLine="0"/>
        <w:rPr>
          <w:rFonts w:eastAsiaTheme="minorEastAsia" w:hint="eastAsia"/>
          <w:lang w:eastAsia="ja-JP"/>
        </w:rPr>
        <w:sectPr w:rsidR="001F2454" w:rsidRPr="003E027D" w:rsidSect="00511102">
          <w:type w:val="continuous"/>
          <w:pgSz w:w="11906" w:h="16838"/>
          <w:pgMar w:top="2102" w:right="1418" w:bottom="1987" w:left="1418" w:header="1411" w:footer="1411" w:gutter="0"/>
          <w:cols w:num="2" w:space="720"/>
          <w:docGrid w:linePitch="360"/>
        </w:sectPr>
      </w:pPr>
    </w:p>
    <w:p w:rsidR="00180CCF" w:rsidRPr="00FE2CBF" w:rsidRDefault="00180CCF" w:rsidP="00B768AC">
      <w:pPr>
        <w:pStyle w:val="Style22"/>
        <w:spacing w:before="0" w:after="0" w:line="240" w:lineRule="auto"/>
        <w:ind w:firstLine="0"/>
        <w:rPr>
          <w:rFonts w:eastAsiaTheme="minorEastAsia" w:hint="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442" w:rsidRDefault="00426442">
      <w:r>
        <w:separator/>
      </w:r>
    </w:p>
  </w:endnote>
  <w:endnote w:type="continuationSeparator" w:id="0">
    <w:p w:rsidR="00426442" w:rsidRDefault="0042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442" w:rsidRDefault="00426442">
      <w:pPr>
        <w:rPr>
          <w:rFonts w:hint="eastAsia"/>
          <w:lang w:eastAsia="ja-JP"/>
        </w:rPr>
      </w:pPr>
    </w:p>
  </w:footnote>
  <w:footnote w:type="continuationSeparator" w:id="0">
    <w:p w:rsidR="00426442" w:rsidRDefault="00426442">
      <w:r>
        <w:continuationSeparator/>
      </w:r>
    </w:p>
  </w:footnote>
  <w:footnote w:id="1">
    <w:p w:rsidR="00436C2D" w:rsidRDefault="00436C2D">
      <w:pPr>
        <w:pStyle w:val="FootnoteText"/>
        <w:rPr>
          <w:rFonts w:hint="eastAsia"/>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3C7FB5">
      <w:rPr>
        <w:rStyle w:val="PageNumber"/>
        <w:noProof/>
        <w:sz w:val="18"/>
        <w:szCs w:val="18"/>
      </w:rPr>
      <w:t>2</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36134"/>
    <w:rsid w:val="00040D29"/>
    <w:rsid w:val="00047511"/>
    <w:rsid w:val="000604BA"/>
    <w:rsid w:val="00066C72"/>
    <w:rsid w:val="00066DFC"/>
    <w:rsid w:val="00072404"/>
    <w:rsid w:val="000753C8"/>
    <w:rsid w:val="000A3C84"/>
    <w:rsid w:val="000C2A0F"/>
    <w:rsid w:val="000F396E"/>
    <w:rsid w:val="001006CC"/>
    <w:rsid w:val="00105F90"/>
    <w:rsid w:val="001150E2"/>
    <w:rsid w:val="001219E0"/>
    <w:rsid w:val="00125EC0"/>
    <w:rsid w:val="001477DC"/>
    <w:rsid w:val="00174AEA"/>
    <w:rsid w:val="00180CCF"/>
    <w:rsid w:val="00183B3E"/>
    <w:rsid w:val="00190ECB"/>
    <w:rsid w:val="001D1FC5"/>
    <w:rsid w:val="001D7654"/>
    <w:rsid w:val="001F2454"/>
    <w:rsid w:val="001F5588"/>
    <w:rsid w:val="00236B94"/>
    <w:rsid w:val="00240708"/>
    <w:rsid w:val="00266E74"/>
    <w:rsid w:val="002725AB"/>
    <w:rsid w:val="002833B1"/>
    <w:rsid w:val="00285F53"/>
    <w:rsid w:val="00292390"/>
    <w:rsid w:val="002A145D"/>
    <w:rsid w:val="002A3BD6"/>
    <w:rsid w:val="002B57C5"/>
    <w:rsid w:val="002B6A4B"/>
    <w:rsid w:val="002D03B5"/>
    <w:rsid w:val="00306389"/>
    <w:rsid w:val="003065A3"/>
    <w:rsid w:val="00312CE6"/>
    <w:rsid w:val="003236E3"/>
    <w:rsid w:val="003276F8"/>
    <w:rsid w:val="00352EDE"/>
    <w:rsid w:val="00366191"/>
    <w:rsid w:val="00375229"/>
    <w:rsid w:val="00394B64"/>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8310D"/>
    <w:rsid w:val="004A1B6E"/>
    <w:rsid w:val="004A2082"/>
    <w:rsid w:val="004B03A6"/>
    <w:rsid w:val="004C7ED5"/>
    <w:rsid w:val="004D7EBE"/>
    <w:rsid w:val="004F2C27"/>
    <w:rsid w:val="00511102"/>
    <w:rsid w:val="00532F98"/>
    <w:rsid w:val="005343A5"/>
    <w:rsid w:val="00542BA0"/>
    <w:rsid w:val="00543F2A"/>
    <w:rsid w:val="00591801"/>
    <w:rsid w:val="00596699"/>
    <w:rsid w:val="005A3E32"/>
    <w:rsid w:val="005C246A"/>
    <w:rsid w:val="005E04CD"/>
    <w:rsid w:val="005E3680"/>
    <w:rsid w:val="006017AD"/>
    <w:rsid w:val="00607BF3"/>
    <w:rsid w:val="006102ED"/>
    <w:rsid w:val="00612EDE"/>
    <w:rsid w:val="006365A1"/>
    <w:rsid w:val="0064311B"/>
    <w:rsid w:val="00655314"/>
    <w:rsid w:val="00676209"/>
    <w:rsid w:val="0068609C"/>
    <w:rsid w:val="00690E92"/>
    <w:rsid w:val="006A4E78"/>
    <w:rsid w:val="006B29EA"/>
    <w:rsid w:val="006B5499"/>
    <w:rsid w:val="006C23DC"/>
    <w:rsid w:val="006F518B"/>
    <w:rsid w:val="00717D33"/>
    <w:rsid w:val="007330D2"/>
    <w:rsid w:val="007419A6"/>
    <w:rsid w:val="00745D23"/>
    <w:rsid w:val="007522CE"/>
    <w:rsid w:val="00764847"/>
    <w:rsid w:val="00774C65"/>
    <w:rsid w:val="00785BC0"/>
    <w:rsid w:val="00797B7C"/>
    <w:rsid w:val="00797CA1"/>
    <w:rsid w:val="007A09F5"/>
    <w:rsid w:val="007B1124"/>
    <w:rsid w:val="007E2B3E"/>
    <w:rsid w:val="007E2C08"/>
    <w:rsid w:val="00867A3B"/>
    <w:rsid w:val="00893589"/>
    <w:rsid w:val="008A4085"/>
    <w:rsid w:val="008B4319"/>
    <w:rsid w:val="008B65F1"/>
    <w:rsid w:val="008D5A21"/>
    <w:rsid w:val="008E1AED"/>
    <w:rsid w:val="008E2481"/>
    <w:rsid w:val="008E2621"/>
    <w:rsid w:val="008F3047"/>
    <w:rsid w:val="00921D79"/>
    <w:rsid w:val="00922F73"/>
    <w:rsid w:val="00980FAD"/>
    <w:rsid w:val="00996DBF"/>
    <w:rsid w:val="009C351C"/>
    <w:rsid w:val="009D5BAC"/>
    <w:rsid w:val="00A028D0"/>
    <w:rsid w:val="00A05610"/>
    <w:rsid w:val="00A145FB"/>
    <w:rsid w:val="00A16837"/>
    <w:rsid w:val="00A21ADB"/>
    <w:rsid w:val="00A36B2A"/>
    <w:rsid w:val="00A53BD6"/>
    <w:rsid w:val="00A54134"/>
    <w:rsid w:val="00A5748A"/>
    <w:rsid w:val="00A92EAF"/>
    <w:rsid w:val="00AE4A8B"/>
    <w:rsid w:val="00B01C3F"/>
    <w:rsid w:val="00B146C3"/>
    <w:rsid w:val="00B164D2"/>
    <w:rsid w:val="00B46AB7"/>
    <w:rsid w:val="00B666D2"/>
    <w:rsid w:val="00B7140D"/>
    <w:rsid w:val="00B722C3"/>
    <w:rsid w:val="00B73824"/>
    <w:rsid w:val="00B768AC"/>
    <w:rsid w:val="00B81257"/>
    <w:rsid w:val="00B94F04"/>
    <w:rsid w:val="00BC45CE"/>
    <w:rsid w:val="00BC4941"/>
    <w:rsid w:val="00BE16B5"/>
    <w:rsid w:val="00C03356"/>
    <w:rsid w:val="00C3653B"/>
    <w:rsid w:val="00C40C7C"/>
    <w:rsid w:val="00C41850"/>
    <w:rsid w:val="00C457A0"/>
    <w:rsid w:val="00C5374D"/>
    <w:rsid w:val="00C564BC"/>
    <w:rsid w:val="00C60CAA"/>
    <w:rsid w:val="00C66A53"/>
    <w:rsid w:val="00C83477"/>
    <w:rsid w:val="00C8447F"/>
    <w:rsid w:val="00C953A9"/>
    <w:rsid w:val="00CB13D1"/>
    <w:rsid w:val="00CD2F3B"/>
    <w:rsid w:val="00CD40BC"/>
    <w:rsid w:val="00CE33E0"/>
    <w:rsid w:val="00CE73CD"/>
    <w:rsid w:val="00D15520"/>
    <w:rsid w:val="00D2342C"/>
    <w:rsid w:val="00D6663F"/>
    <w:rsid w:val="00D870B0"/>
    <w:rsid w:val="00D96C06"/>
    <w:rsid w:val="00DA0271"/>
    <w:rsid w:val="00DA04CE"/>
    <w:rsid w:val="00DE3BDB"/>
    <w:rsid w:val="00E05764"/>
    <w:rsid w:val="00E14028"/>
    <w:rsid w:val="00E15718"/>
    <w:rsid w:val="00E169A1"/>
    <w:rsid w:val="00E2019A"/>
    <w:rsid w:val="00E22F99"/>
    <w:rsid w:val="00E278FA"/>
    <w:rsid w:val="00E27D61"/>
    <w:rsid w:val="00E368AD"/>
    <w:rsid w:val="00E46A37"/>
    <w:rsid w:val="00E5507B"/>
    <w:rsid w:val="00E80E0F"/>
    <w:rsid w:val="00E86F5F"/>
    <w:rsid w:val="00E879CF"/>
    <w:rsid w:val="00E94459"/>
    <w:rsid w:val="00EB2BD2"/>
    <w:rsid w:val="00EB3976"/>
    <w:rsid w:val="00EF429E"/>
    <w:rsid w:val="00EF5196"/>
    <w:rsid w:val="00F20AD4"/>
    <w:rsid w:val="00F43895"/>
    <w:rsid w:val="00F600DC"/>
    <w:rsid w:val="00F7229C"/>
    <w:rsid w:val="00F84603"/>
    <w:rsid w:val="00FA00BD"/>
    <w:rsid w:val="00FA7F9D"/>
    <w:rsid w:val="00FB2476"/>
    <w:rsid w:val="00FB36B5"/>
    <w:rsid w:val="00FD3EBC"/>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99951-B1FC-4CFF-99DA-1C37FD28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28896</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71</cp:revision>
  <cp:lastPrinted>2016-01-15T02:37:00Z</cp:lastPrinted>
  <dcterms:created xsi:type="dcterms:W3CDTF">2017-06-20T09:44:00Z</dcterms:created>
  <dcterms:modified xsi:type="dcterms:W3CDTF">2017-06-20T12:36:00Z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