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AF0599" w:rsidP="00AF0599">
      <w:pPr>
        <w:pStyle w:val="papertitle"/>
      </w:pPr>
      <w:r>
        <w:t xml:space="preserve">An improved method in generic algorithm </w:t>
      </w:r>
    </w:p>
    <w:p w:rsidR="009303D9" w:rsidRPr="005B520E" w:rsidRDefault="00AF0599" w:rsidP="00AF0599">
      <w:pPr>
        <w:pStyle w:val="papertitle"/>
      </w:pPr>
      <w:r>
        <w:t>for path testing</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pPr>
      <w:proofErr w:type="gramStart"/>
      <w:r w:rsidRPr="005B520E">
        <w:t>line</w:t>
      </w:r>
      <w:proofErr w:type="gramEnd"/>
      <w:r w:rsidRPr="005B520E">
        <w:t xml:space="preserv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w:t>
      </w:r>
      <w:r>
        <w:lastRenderedPageBreak/>
        <w:t>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6C0F37E8" wp14:editId="1EE0B8BE">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993CEA">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 xml:space="preserve">to this decision is checked whether it </w:t>
      </w:r>
      <w:r w:rsidR="00646C89" w:rsidRPr="00EE12E0">
        <w:rPr>
          <w:rFonts w:hint="eastAsia"/>
          <w:i w:val="0"/>
          <w:lang w:eastAsia="ja-JP"/>
        </w:rPr>
        <w:lastRenderedPageBreak/>
        <w:t>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A432C"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 xml:space="preserve">A selection scheme is applied to determine how individuals are chosen for mating based on their fitness. Fitness can be defined as a capability of an individual to survive and reproduce in an environment. Selection generates </w:t>
      </w:r>
      <w:r w:rsidRPr="006F1A87">
        <w:rPr>
          <w:i w:val="0"/>
        </w:rPr>
        <w:lastRenderedPageBreak/>
        <w:t>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14:anchorId="2E1C156F" wp14:editId="066F16F3">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bookmarkStart w:id="0" w:name="_GoBack"/>
      <w:r w:rsidR="001A432C">
        <w:rPr>
          <w:rFonts w:ascii="Times" w:eastAsiaTheme="minorEastAsia" w:hAnsi="Times" w:hint="eastAsia"/>
          <w:color w:val="222222"/>
          <w:lang w:eastAsia="ja-JP"/>
        </w:rPr>
        <w:t>identify</w:t>
      </w:r>
      <w:r w:rsidRPr="00600B73">
        <w:rPr>
          <w:rFonts w:ascii="Times" w:hAnsi="Times"/>
          <w:color w:val="222222"/>
        </w:rPr>
        <w:t xml:space="preserve"> </w:t>
      </w:r>
      <w:bookmarkEnd w:id="0"/>
      <w:r w:rsidRPr="00600B73">
        <w:rPr>
          <w:rFonts w:ascii="Times" w:hAnsi="Times"/>
          <w:color w:val="222222"/>
        </w:rPr>
        <w:t>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hint="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lastRenderedPageBreak/>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lastRenderedPageBreak/>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432C"/>
    <w:rsid w:val="001A7186"/>
    <w:rsid w:val="001B1759"/>
    <w:rsid w:val="001B30D5"/>
    <w:rsid w:val="001B67DC"/>
    <w:rsid w:val="001C1699"/>
    <w:rsid w:val="001C4843"/>
    <w:rsid w:val="001F7AF3"/>
    <w:rsid w:val="002027BD"/>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54800"/>
    <w:rsid w:val="00361393"/>
    <w:rsid w:val="00367EA2"/>
    <w:rsid w:val="00397283"/>
    <w:rsid w:val="003A19E2"/>
    <w:rsid w:val="003A610C"/>
    <w:rsid w:val="003A7C79"/>
    <w:rsid w:val="003B0A98"/>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34654"/>
    <w:rsid w:val="005372E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24217"/>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361C6"/>
    <w:rsid w:val="008428D1"/>
    <w:rsid w:val="008455D9"/>
    <w:rsid w:val="00873603"/>
    <w:rsid w:val="00874B3F"/>
    <w:rsid w:val="00881B9B"/>
    <w:rsid w:val="008A2C7D"/>
    <w:rsid w:val="008B3F28"/>
    <w:rsid w:val="008C4B23"/>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59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A6BEE"/>
    <w:rsid w:val="00DB5B5B"/>
    <w:rsid w:val="00DB5E2A"/>
    <w:rsid w:val="00DC4532"/>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12E0"/>
    <w:rsid w:val="00EE2A3F"/>
    <w:rsid w:val="00EF1B1F"/>
    <w:rsid w:val="00F01C58"/>
    <w:rsid w:val="00F03103"/>
    <w:rsid w:val="00F12834"/>
    <w:rsid w:val="00F21C65"/>
    <w:rsid w:val="00F271DE"/>
    <w:rsid w:val="00F32BB6"/>
    <w:rsid w:val="00F32F15"/>
    <w:rsid w:val="00F3781B"/>
    <w:rsid w:val="00F4159C"/>
    <w:rsid w:val="00F5208E"/>
    <w:rsid w:val="00F627DA"/>
    <w:rsid w:val="00F65800"/>
    <w:rsid w:val="00F7288F"/>
    <w:rsid w:val="00F72BE9"/>
    <w:rsid w:val="00F76C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C47F-33A9-4148-9A0B-775647C5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7</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223</cp:revision>
  <cp:lastPrinted>2016-06-24T07:00:00Z</cp:lastPrinted>
  <dcterms:created xsi:type="dcterms:W3CDTF">2016-06-23T06:59:00Z</dcterms:created>
  <dcterms:modified xsi:type="dcterms:W3CDTF">2016-06-28T02:18:00Z</dcterms:modified>
</cp:coreProperties>
</file>