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w:t>
      </w:r>
      <w:r>
        <w:lastRenderedPageBreak/>
        <w:t>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bookmarkStart w:id="0" w:name="_GoBack"/>
      <w:r>
        <w:rPr>
          <w:noProof/>
          <w:lang w:eastAsia="ja-JP"/>
        </w:rPr>
        <w:drawing>
          <wp:inline distT="0" distB="0" distL="0" distR="0" wp14:anchorId="33F187F1" wp14:editId="3E04C3B4">
            <wp:extent cx="3196742" cy="26554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5955" cy="2654764"/>
                    </a:xfrm>
                    <a:prstGeom prst="rect">
                      <a:avLst/>
                    </a:prstGeom>
                  </pic:spPr>
                </pic:pic>
              </a:graphicData>
            </a:graphic>
          </wp:inline>
        </w:drawing>
      </w:r>
      <w:bookmarkEnd w:id="0"/>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hs, to serve as a basis 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some below procedure</w:t>
      </w:r>
      <w:r w:rsidR="00122333">
        <w:rPr>
          <w:rFonts w:eastAsiaTheme="minorEastAsia" w:hint="eastAsia"/>
          <w:lang w:eastAsia="ja-JP"/>
        </w:rPr>
        <w:t>s:</w:t>
      </w:r>
    </w:p>
    <w:p w:rsidR="0040232D" w:rsidRDefault="00F65800" w:rsidP="0040232D">
      <w:pPr>
        <w:pStyle w:val="Heading3"/>
        <w:rPr>
          <w:rFonts w:eastAsiaTheme="minorEastAsia"/>
          <w:lang w:eastAsia="ja-JP"/>
        </w:rPr>
      </w:pPr>
      <w:r>
        <w:rPr>
          <w:rFonts w:eastAsiaTheme="minorEastAsia" w:hint="eastAsia"/>
          <w:lang w:eastAsia="ja-JP"/>
        </w:rPr>
        <w:t>C</w:t>
      </w:r>
      <w:r w:rsidR="0040232D">
        <w:rPr>
          <w:rFonts w:eastAsiaTheme="minorEastAsia" w:hint="eastAsia"/>
          <w:lang w:eastAsia="ja-JP"/>
        </w:rPr>
        <w:t>F</w:t>
      </w:r>
      <w:r>
        <w:rPr>
          <w:rFonts w:eastAsiaTheme="minorEastAsia" w:hint="eastAsia"/>
          <w:lang w:eastAsia="ja-JP"/>
        </w:rPr>
        <w:t>G</w:t>
      </w:r>
      <w:r w:rsidR="0040232D">
        <w:rPr>
          <w:rFonts w:eastAsiaTheme="minorEastAsia" w:hint="eastAsia"/>
          <w:lang w:eastAsia="ja-JP"/>
        </w:rPr>
        <w:t xml:space="preserve"> generation</w:t>
      </w:r>
      <w:r w:rsidR="00F90E37">
        <w:rPr>
          <w:rFonts w:eastAsiaTheme="minorEastAsia" w:hint="eastAsia"/>
          <w:lang w:eastAsia="ja-JP"/>
        </w:rPr>
        <w:t>:</w:t>
      </w:r>
      <w:r w:rsidR="00F90E37">
        <w:rPr>
          <w:rFonts w:eastAsiaTheme="minorEastAsia" w:hint="eastAsia"/>
          <w:i w:val="0"/>
          <w:lang w:eastAsia="ja-JP"/>
        </w:rPr>
        <w:t>aaaaa</w:t>
      </w:r>
      <w:r w:rsidR="00F90E37">
        <w:rPr>
          <w:rFonts w:eastAsiaTheme="minorEastAsia" w:hint="eastAsia"/>
          <w:lang w:eastAsia="ja-JP"/>
        </w:rPr>
        <w:t xml:space="preserve"> </w:t>
      </w:r>
    </w:p>
    <w:p w:rsidR="0040232D" w:rsidRDefault="0040232D" w:rsidP="0040232D">
      <w:pPr>
        <w:pStyle w:val="Heading3"/>
        <w:rPr>
          <w:rFonts w:eastAsiaTheme="minorEastAsia"/>
          <w:lang w:eastAsia="ja-JP"/>
        </w:rPr>
      </w:pPr>
      <w:r>
        <w:rPr>
          <w:rFonts w:eastAsiaTheme="minorEastAsia" w:hint="eastAsia"/>
          <w:lang w:eastAsia="ja-JP"/>
        </w:rPr>
        <w:t>Target paths generation</w:t>
      </w:r>
      <w:r w:rsidR="00F90E37">
        <w:rPr>
          <w:rFonts w:eastAsiaTheme="minorEastAsia" w:hint="eastAsia"/>
          <w:lang w:eastAsia="ja-JP"/>
        </w:rPr>
        <w:t>:</w:t>
      </w:r>
      <w:r w:rsidR="00F90E37">
        <w:rPr>
          <w:rFonts w:eastAsiaTheme="minorEastAsia" w:hint="eastAsia"/>
          <w:i w:val="0"/>
          <w:lang w:eastAsia="ja-JP"/>
        </w:rPr>
        <w:t xml:space="preserve"> bbbb</w:t>
      </w:r>
    </w:p>
    <w:p w:rsidR="0040232D" w:rsidRDefault="0040232D" w:rsidP="0040232D">
      <w:pPr>
        <w:pStyle w:val="Heading3"/>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ccc</w:t>
      </w:r>
    </w:p>
    <w:p w:rsidR="0040232D" w:rsidRPr="0040232D" w:rsidRDefault="0040232D" w:rsidP="0040232D">
      <w:pPr>
        <w:pStyle w:val="Heading3"/>
        <w:rPr>
          <w:lang w:eastAsia="ja-JP"/>
        </w:rPr>
      </w:pPr>
      <w:r>
        <w:rPr>
          <w:rFonts w:eastAsiaTheme="minorEastAsia" w:hint="eastAsia"/>
          <w:lang w:eastAsia="ja-JP"/>
        </w:rPr>
        <w:lastRenderedPageBreak/>
        <w:t>Identify path condition</w:t>
      </w:r>
      <w:r w:rsidR="00F90E37">
        <w:rPr>
          <w:rFonts w:eastAsiaTheme="minorEastAsia" w:hint="eastAsia"/>
          <w:lang w:eastAsia="ja-JP"/>
        </w:rPr>
        <w:t>:</w:t>
      </w:r>
      <w:r w:rsidR="00F90E37">
        <w:rPr>
          <w:rFonts w:eastAsiaTheme="minorEastAsia" w:hint="eastAsia"/>
          <w:i w:val="0"/>
          <w:lang w:eastAsia="ja-JP"/>
        </w:rPr>
        <w:t>dddd</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611F40"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lastRenderedPageBreak/>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lastRenderedPageBreak/>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A82D63" w:rsidRPr="00D1589A" w:rsidRDefault="00E70990" w:rsidP="00E51CC2">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lastRenderedPageBreak/>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lastRenderedPageBreak/>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lastRenderedPageBreak/>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lastRenderedPageBreak/>
        <w:t>Moataz A. Ahmed and Irman Hermadi, GA-based Multiple Paths Test Data Generator, Computers &amp; Operations Research, 35:3107-3124, October 2008.</w:t>
      </w:r>
    </w:p>
    <w:p w:rsidR="005C42C3" w:rsidRDefault="005C42C3" w:rsidP="005C42C3">
      <w:pPr>
        <w:pStyle w:val="references"/>
      </w:pPr>
      <w:r>
        <w:t xml:space="preserve">Yong Chen and Yong Zhong, Automatic path-oriented test data generation using a multi-population genetic algorithm, In Proceedings of </w:t>
      </w:r>
      <w:r>
        <w:lastRenderedPageBreak/>
        <w:t>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721CA"/>
    <w:rsid w:val="0009396B"/>
    <w:rsid w:val="000A305E"/>
    <w:rsid w:val="000B47E4"/>
    <w:rsid w:val="000B76BD"/>
    <w:rsid w:val="000C015B"/>
    <w:rsid w:val="000C1E6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7186"/>
    <w:rsid w:val="001B1759"/>
    <w:rsid w:val="001B30D5"/>
    <w:rsid w:val="001B67DC"/>
    <w:rsid w:val="001C4843"/>
    <w:rsid w:val="001F7AF3"/>
    <w:rsid w:val="002078C1"/>
    <w:rsid w:val="0021100B"/>
    <w:rsid w:val="00213F80"/>
    <w:rsid w:val="00216B08"/>
    <w:rsid w:val="002244B4"/>
    <w:rsid w:val="002254A9"/>
    <w:rsid w:val="00232D8B"/>
    <w:rsid w:val="0023548C"/>
    <w:rsid w:val="002822B8"/>
    <w:rsid w:val="0028423D"/>
    <w:rsid w:val="00287B61"/>
    <w:rsid w:val="0029136B"/>
    <w:rsid w:val="0029276C"/>
    <w:rsid w:val="002B7196"/>
    <w:rsid w:val="002C494F"/>
    <w:rsid w:val="002D107B"/>
    <w:rsid w:val="002D4832"/>
    <w:rsid w:val="002F421C"/>
    <w:rsid w:val="00354800"/>
    <w:rsid w:val="00361393"/>
    <w:rsid w:val="00367EA2"/>
    <w:rsid w:val="003A19E2"/>
    <w:rsid w:val="003A610C"/>
    <w:rsid w:val="003A7C79"/>
    <w:rsid w:val="003B3E2C"/>
    <w:rsid w:val="003B6804"/>
    <w:rsid w:val="003C2711"/>
    <w:rsid w:val="003D12F4"/>
    <w:rsid w:val="003E7F63"/>
    <w:rsid w:val="003F5E3B"/>
    <w:rsid w:val="003F6242"/>
    <w:rsid w:val="003F6FD8"/>
    <w:rsid w:val="0040232D"/>
    <w:rsid w:val="0040733F"/>
    <w:rsid w:val="00407E67"/>
    <w:rsid w:val="00412403"/>
    <w:rsid w:val="0042116E"/>
    <w:rsid w:val="00455F7B"/>
    <w:rsid w:val="00457902"/>
    <w:rsid w:val="00471D48"/>
    <w:rsid w:val="00475D5A"/>
    <w:rsid w:val="00485BBB"/>
    <w:rsid w:val="00491211"/>
    <w:rsid w:val="00494885"/>
    <w:rsid w:val="004A6F34"/>
    <w:rsid w:val="004B514D"/>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7C75"/>
    <w:rsid w:val="005B0344"/>
    <w:rsid w:val="005B520E"/>
    <w:rsid w:val="005C2C51"/>
    <w:rsid w:val="005C42C3"/>
    <w:rsid w:val="005E2800"/>
    <w:rsid w:val="006000DA"/>
    <w:rsid w:val="00611268"/>
    <w:rsid w:val="00611F40"/>
    <w:rsid w:val="00612D47"/>
    <w:rsid w:val="006148EB"/>
    <w:rsid w:val="00630B1D"/>
    <w:rsid w:val="006454A6"/>
    <w:rsid w:val="00646599"/>
    <w:rsid w:val="00651A08"/>
    <w:rsid w:val="00660A85"/>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7328D"/>
    <w:rsid w:val="00786AE4"/>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1365A"/>
    <w:rsid w:val="00820506"/>
    <w:rsid w:val="00834C8B"/>
    <w:rsid w:val="00835276"/>
    <w:rsid w:val="008428D1"/>
    <w:rsid w:val="008455D9"/>
    <w:rsid w:val="00873603"/>
    <w:rsid w:val="00874B3F"/>
    <w:rsid w:val="00881B9B"/>
    <w:rsid w:val="008A2C7D"/>
    <w:rsid w:val="008C4B23"/>
    <w:rsid w:val="008E37CB"/>
    <w:rsid w:val="00907382"/>
    <w:rsid w:val="00914D33"/>
    <w:rsid w:val="00915177"/>
    <w:rsid w:val="009303D9"/>
    <w:rsid w:val="00931700"/>
    <w:rsid w:val="00933C64"/>
    <w:rsid w:val="00937158"/>
    <w:rsid w:val="00964BF1"/>
    <w:rsid w:val="00965AC4"/>
    <w:rsid w:val="00966519"/>
    <w:rsid w:val="00972203"/>
    <w:rsid w:val="0097304B"/>
    <w:rsid w:val="009877FB"/>
    <w:rsid w:val="00993CEA"/>
    <w:rsid w:val="009C0AC4"/>
    <w:rsid w:val="009C1B0A"/>
    <w:rsid w:val="009D536A"/>
    <w:rsid w:val="009D7872"/>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7D3C"/>
    <w:rsid w:val="00BF07D3"/>
    <w:rsid w:val="00BF5FF6"/>
    <w:rsid w:val="00C0207F"/>
    <w:rsid w:val="00C04C1E"/>
    <w:rsid w:val="00C16117"/>
    <w:rsid w:val="00C32080"/>
    <w:rsid w:val="00C40EC9"/>
    <w:rsid w:val="00C6027B"/>
    <w:rsid w:val="00C605E7"/>
    <w:rsid w:val="00C6480E"/>
    <w:rsid w:val="00C65271"/>
    <w:rsid w:val="00C70077"/>
    <w:rsid w:val="00C7064A"/>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709C"/>
    <w:rsid w:val="00D57758"/>
    <w:rsid w:val="00D60AE6"/>
    <w:rsid w:val="00D632BE"/>
    <w:rsid w:val="00D63701"/>
    <w:rsid w:val="00D702BE"/>
    <w:rsid w:val="00D74C6E"/>
    <w:rsid w:val="00D7536F"/>
    <w:rsid w:val="00DA6BEE"/>
    <w:rsid w:val="00DB5B5B"/>
    <w:rsid w:val="00DB5E2A"/>
    <w:rsid w:val="00DD0018"/>
    <w:rsid w:val="00E123D3"/>
    <w:rsid w:val="00E2100B"/>
    <w:rsid w:val="00E21C69"/>
    <w:rsid w:val="00E3084F"/>
    <w:rsid w:val="00E369AB"/>
    <w:rsid w:val="00E51CC2"/>
    <w:rsid w:val="00E61E12"/>
    <w:rsid w:val="00E62E28"/>
    <w:rsid w:val="00E70990"/>
    <w:rsid w:val="00E7596C"/>
    <w:rsid w:val="00E77167"/>
    <w:rsid w:val="00E878F2"/>
    <w:rsid w:val="00ED0149"/>
    <w:rsid w:val="00ED7E7A"/>
    <w:rsid w:val="00EE2A3F"/>
    <w:rsid w:val="00EF1B1F"/>
    <w:rsid w:val="00F01C58"/>
    <w:rsid w:val="00F03103"/>
    <w:rsid w:val="00F12834"/>
    <w:rsid w:val="00F271DE"/>
    <w:rsid w:val="00F32BB6"/>
    <w:rsid w:val="00F32F15"/>
    <w:rsid w:val="00F3781B"/>
    <w:rsid w:val="00F4159C"/>
    <w:rsid w:val="00F5208E"/>
    <w:rsid w:val="00F627DA"/>
    <w:rsid w:val="00F65800"/>
    <w:rsid w:val="00F7288F"/>
    <w:rsid w:val="00F72BE9"/>
    <w:rsid w:val="00F90E37"/>
    <w:rsid w:val="00F9441B"/>
    <w:rsid w:val="00FA4357"/>
    <w:rsid w:val="00FA4C32"/>
    <w:rsid w:val="00FA4CEB"/>
    <w:rsid w:val="00FB67C3"/>
    <w:rsid w:val="00FC2197"/>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DC718-37CD-414D-BD2D-AA0EADC8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187</cp:revision>
  <cp:lastPrinted>2016-06-24T07:00:00Z</cp:lastPrinted>
  <dcterms:created xsi:type="dcterms:W3CDTF">2016-06-23T06:59:00Z</dcterms:created>
  <dcterms:modified xsi:type="dcterms:W3CDTF">2016-06-26T04:38:00Z</dcterms:modified>
</cp:coreProperties>
</file>