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7A484F">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function phân loại tam giác Tritype như sau:</w:t>
      </w:r>
    </w:p>
    <w:p w:rsidR="009C70E0" w:rsidRDefault="00195EE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w:t>
      </w:r>
      <w:r w:rsidR="00565263">
        <w:rPr>
          <w:rFonts w:ascii="Times New Roman" w:hAnsi="Times New Roman" w:cs="Times New Roman"/>
          <w:color w:val="222222"/>
          <w:sz w:val="24"/>
          <w:szCs w:val="24"/>
        </w:rPr>
        <w:t xml:space="preserve">dương </w:t>
      </w:r>
      <w:r>
        <w:rPr>
          <w:rFonts w:ascii="Times New Roman" w:hAnsi="Times New Roman" w:cs="Times New Roman" w:hint="eastAsia"/>
          <w:color w:val="222222"/>
          <w:sz w:val="24"/>
          <w:szCs w:val="24"/>
        </w:rPr>
        <w:t xml:space="preserve">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w:t>
      </w:r>
      <w:r w:rsidR="00565263">
        <w:rPr>
          <w:rFonts w:ascii="Times New Roman" w:hAnsi="Times New Roman" w:cs="Times New Roman"/>
          <w:color w:val="222222"/>
          <w:sz w:val="24"/>
          <w:szCs w:val="24"/>
        </w:rPr>
        <w:t xml:space="preserve">parameter </w:t>
      </w:r>
      <w:r>
        <w:rPr>
          <w:rFonts w:ascii="Times New Roman" w:hAnsi="Times New Roman" w:cs="Times New Roman" w:hint="eastAsia"/>
          <w:color w:val="222222"/>
          <w:sz w:val="24"/>
          <w:szCs w:val="24"/>
        </w:rPr>
        <w:t>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0</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-3</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F21368"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F21368" w:rsidRPr="000E1C31" w:rsidRDefault="00F21368"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F21368" w:rsidRPr="000E1C31" w:rsidRDefault="00F21368" w:rsidP="001274C2">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 xml:space="preserve">Kiểm thử đường dẫn là tìm kiếm </w:t>
      </w:r>
      <w:r w:rsidR="007E78AF">
        <w:rPr>
          <w:rFonts w:ascii="Times New Roman" w:hAnsi="Times New Roman" w:cs="Times New Roman" w:hint="eastAsia"/>
          <w:color w:val="222222"/>
          <w:sz w:val="24"/>
          <w:szCs w:val="24"/>
        </w:rPr>
        <w:t xml:space="preserve">các </w:t>
      </w:r>
      <w:r>
        <w:rPr>
          <w:rFonts w:ascii="Times New Roman" w:hAnsi="Times New Roman" w:cs="Times New Roman" w:hint="eastAsia"/>
          <w:color w:val="222222"/>
          <w:sz w:val="24"/>
          <w:szCs w:val="24"/>
        </w:rPr>
        <w:t>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514B2D">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527E76">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565263">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8D41C8">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sidR="008D41C8">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565263">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527E76">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887795">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8D41C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 xml:space="preserve">ra khỏi danh sách.Quá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024AED">
        <w:rPr>
          <w:rFonts w:ascii="Times New Roman" w:hAnsi="Times New Roman" w:cs="Times New Roman" w:hint="eastAsia"/>
          <w:color w:val="222222"/>
          <w:sz w:val="24"/>
          <w:szCs w:val="24"/>
        </w:rPr>
        <w:t>thì sẽ không thể sinh ra test case để phủ được.</w:t>
      </w:r>
    </w:p>
    <w:p w:rsidR="00777571" w:rsidRDefault="00195E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4.8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77571" w:rsidRPr="00565263" w:rsidRDefault="00186E47" w:rsidP="00565263">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Default="00C356E7"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565263" w:rsidRDefault="0056526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B225F2" w:rsidRDefault="00565263" w:rsidP="00C42F0C">
      <w:pPr>
        <w:shd w:val="clear" w:color="auto" w:fill="FFFFFF"/>
        <w:spacing w:after="120" w:line="240" w:lineRule="auto"/>
        <w:jc w:val="both"/>
        <w:rPr>
          <w:rFonts w:ascii="Times New Roman" w:hAnsi="Times New Roman" w:cs="Times New Roman"/>
          <w:color w:val="222222"/>
          <w:sz w:val="24"/>
          <w:szCs w:val="24"/>
        </w:rPr>
      </w:pPr>
      <w:r>
        <w:rPr>
          <w:noProof/>
        </w:rPr>
        <w:lastRenderedPageBreak/>
        <w:pict>
          <v:group id="_x0000_s1182" style="position:absolute;left:0;text-align:left;margin-left:1.35pt;margin-top:13.35pt;width:456.45pt;height:379.6pt;z-index:251752448" coordorigin="1467,1707" coordsize="9129,7592">
            <v:rect id="Rectangle 2" o:spid="_x0000_s1151" style="position:absolute;left:4730;top:2665;width:5866;height:663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 id="TextBox 92" o:spid="_x0000_s1152" type="#_x0000_t202" style="position:absolute;left:8931;top:7230;width:433;height:37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153" type="#_x0000_t202" style="position:absolute;left:7165;top:8018;width:454;height:36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154" type="#_x0000_t114" style="position:absolute;left:1480;top:1707;width:2370;height:1117;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B225F2" w:rsidRDefault="00B225F2" w:rsidP="00B225F2">
                    <w:pPr>
                      <w:pStyle w:val="NormalWeb"/>
                      <w:spacing w:before="0" w:beforeAutospacing="0" w:after="0" w:afterAutospacing="0"/>
                      <w:jc w:val="center"/>
                    </w:pPr>
                    <w:r>
                      <w:rPr>
                        <w:color w:val="000000"/>
                      </w:rPr>
                      <w:t>Test function</w:t>
                    </w:r>
                  </w:p>
                </w:txbxContent>
              </v:textbox>
            </v:shape>
            <v:rect id="Rectangle 6" o:spid="_x0000_s1155" style="position:absolute;left:1467;top:3188;width:2422;height:52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B225F2" w:rsidRDefault="00B225F2" w:rsidP="00B225F2">
                    <w:pPr>
                      <w:pStyle w:val="NormalWeb"/>
                      <w:spacing w:before="0" w:beforeAutospacing="0" w:after="0" w:afterAutospacing="0"/>
                      <w:jc w:val="center"/>
                    </w:pPr>
                    <w:r>
                      <w:rPr>
                        <w:color w:val="000000"/>
                      </w:rPr>
                      <w:t>CFG generation</w:t>
                    </w:r>
                  </w:p>
                </w:txbxContent>
              </v:textbox>
            </v:rect>
            <v:rect id="Rectangle 7" o:spid="_x0000_s1156" style="position:absolute;left:1493;top:4089;width:2369;height:727;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B225F2" w:rsidRDefault="00B225F2" w:rsidP="00B225F2">
                    <w:pPr>
                      <w:pStyle w:val="NormalWeb"/>
                      <w:spacing w:before="0" w:beforeAutospacing="0" w:after="0" w:afterAutospacing="0"/>
                      <w:jc w:val="center"/>
                    </w:pPr>
                    <w:r>
                      <w:rPr>
                        <w:color w:val="000000"/>
                      </w:rPr>
                      <w:t>Target paths list generation</w:t>
                    </w:r>
                  </w:p>
                </w:txbxContent>
              </v:textbox>
            </v:rect>
            <v:rect id="Rectangle 8" o:spid="_x0000_s1157" style="position:absolute;left:1467;top:5218;width:2422;height:729;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B225F2" w:rsidRDefault="00B225F2" w:rsidP="00B225F2">
                    <w:pPr>
                      <w:pStyle w:val="NormalWeb"/>
                      <w:spacing w:before="0" w:beforeAutospacing="0" w:after="0" w:afterAutospacing="0"/>
                      <w:jc w:val="center"/>
                    </w:pPr>
                    <w:r>
                      <w:rPr>
                        <w:color w:val="000000"/>
                      </w:rPr>
                      <w:t>Tìm các path khó phủ</w:t>
                    </w:r>
                  </w:p>
                </w:txbxContent>
              </v:textbox>
            </v:rect>
            <v:rect id="Rectangle 9" o:spid="_x0000_s1158" style="position:absolute;left:1467;top:6426;width:2422;height:70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B225F2" w:rsidRDefault="00B225F2" w:rsidP="00B225F2">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159" type="#_x0000_t32" style="position:absolute;left:2665;top:2781;width:13;height:388;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160" type="#_x0000_t32" style="position:absolute;left:2678;top:3733;width:0;height:336;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161" type="#_x0000_t32" style="position:absolute;left:2678;top:4816;width:0;height:382;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162" type="#_x0000_t32" style="position:absolute;left:2678;top:5967;width:0;height:440;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163" style="position:absolute;left:5805;top:3326;width:2732;height:51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B225F2" w:rsidRDefault="00B225F2" w:rsidP="00B225F2">
                    <w:pPr>
                      <w:pStyle w:val="NormalWeb"/>
                      <w:spacing w:before="0" w:beforeAutospacing="0" w:after="0" w:afterAutospacing="0"/>
                      <w:jc w:val="center"/>
                    </w:pPr>
                    <w:r>
                      <w:rPr>
                        <w:color w:val="000000"/>
                      </w:rPr>
                      <w:t>Initialization</w:t>
                    </w:r>
                  </w:p>
                </w:txbxContent>
              </v:textbox>
            </v:rect>
            <v:rect id="Rectangle 15" o:spid="_x0000_s1164" style="position:absolute;left:5805;top:4169;width:2745;height:46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B225F2" w:rsidRDefault="00B225F2" w:rsidP="00B225F2">
                    <w:pPr>
                      <w:pStyle w:val="NormalWeb"/>
                      <w:spacing w:before="0" w:beforeAutospacing="0" w:after="0" w:afterAutospacing="0"/>
                      <w:jc w:val="center"/>
                    </w:pPr>
                    <w:r>
                      <w:rPr>
                        <w:color w:val="000000"/>
                      </w:rPr>
                      <w:t>Evaluation</w:t>
                    </w:r>
                  </w:p>
                </w:txbxContent>
              </v:textbox>
            </v:rect>
            <v:rect id="Rectangle 16" o:spid="_x0000_s1165" style="position:absolute;left:5818;top:4967;width:2719;height:46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B225F2" w:rsidRDefault="00B225F2" w:rsidP="00B225F2">
                    <w:pPr>
                      <w:pStyle w:val="NormalWeb"/>
                      <w:spacing w:before="0" w:beforeAutospacing="0" w:after="0" w:afterAutospacing="0"/>
                      <w:jc w:val="center"/>
                    </w:pPr>
                    <w:r>
                      <w:rPr>
                        <w:color w:val="000000"/>
                      </w:rPr>
                      <w:t>Selection</w:t>
                    </w:r>
                  </w:p>
                </w:txbxContent>
              </v:textbox>
            </v:rect>
            <v:rect id="Rectangle 17" o:spid="_x0000_s1166" style="position:absolute;left:5831;top:5753;width:2706;height:46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B225F2" w:rsidRDefault="00B225F2" w:rsidP="00B225F2">
                    <w:pPr>
                      <w:pStyle w:val="NormalWeb"/>
                      <w:spacing w:before="0" w:beforeAutospacing="0" w:after="0" w:afterAutospacing="0"/>
                      <w:jc w:val="center"/>
                    </w:pPr>
                    <w:r>
                      <w:rPr>
                        <w:color w:val="000000"/>
                      </w:rPr>
                      <w:t>Perturbation</w:t>
                    </w:r>
                  </w:p>
                </w:txbxContent>
              </v:textbox>
            </v:rect>
            <v:shape id="Straight Arrow Connector 18" o:spid="_x0000_s1167" type="#_x0000_t32" style="position:absolute;left:7171;top:3858;width:7;height:291;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168" type="#_x0000_t32" style="position:absolute;left:7178;top:4656;width:0;height:292;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169" type="#_x0000_t32" style="position:absolute;left:7178;top:5454;width:6;height:280;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170" type="#_x0000_t110" style="position:absolute;left:5235;top:7322;width:3898;height:74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B225F2" w:rsidRDefault="00B225F2" w:rsidP="00B225F2">
                    <w:pPr>
                      <w:pStyle w:val="NormalWeb"/>
                      <w:spacing w:before="0" w:beforeAutospacing="0" w:after="0" w:afterAutospacing="0"/>
                      <w:jc w:val="center"/>
                    </w:pPr>
                    <w:r>
                      <w:rPr>
                        <w:color w:val="000000"/>
                      </w:rPr>
                      <w:t>Stopping criteria?</w:t>
                    </w:r>
                  </w:p>
                </w:txbxContent>
              </v:textbox>
            </v:shape>
            <v:shape id="Straight Arrow Connector 22" o:spid="_x0000_s1171" type="#_x0000_t32" style="position:absolute;left:7184;top:6241;width:0;height:291;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72" type="#_x0000_t34" style="position:absolute;left:8570;top:4403;width:583;height:3290;flip:x 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50507,339116" strokecolor="#4579b8 [3044]" strokeweight="2pt">
              <v:stroke endarrow="block"/>
            </v:shape>
            <v:shape id="Straight Arrow Connector 24" o:spid="_x0000_s1173" type="#_x0000_t32" style="position:absolute;left:7184;top:8084;width:7;height:328;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174" type="#_x0000_t116" style="position:absolute;left:5831;top:8432;width:2719;height:65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B225F2" w:rsidRDefault="00B225F2" w:rsidP="00B225F2">
                    <w:pPr>
                      <w:pStyle w:val="NormalWeb"/>
                      <w:spacing w:before="0" w:beforeAutospacing="0" w:after="0" w:afterAutospacing="0"/>
                      <w:jc w:val="center"/>
                    </w:pPr>
                    <w:r>
                      <w:rPr>
                        <w:color w:val="000000"/>
                        <w:sz w:val="22"/>
                        <w:szCs w:val="22"/>
                      </w:rPr>
                      <w:t>End</w:t>
                    </w:r>
                  </w:p>
                </w:txbxContent>
              </v:textbox>
            </v:shape>
            <v:rect id="Rectangle 26" o:spid="_x0000_s1175" style="position:absolute;left:5831;top:6552;width:2706;height:467;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B225F2" w:rsidRDefault="00B225F2" w:rsidP="00B225F2">
                    <w:pPr>
                      <w:pStyle w:val="NormalWeb"/>
                      <w:spacing w:before="0" w:beforeAutospacing="0" w:after="0" w:afterAutospacing="0"/>
                      <w:jc w:val="center"/>
                    </w:pPr>
                    <w:r>
                      <w:rPr>
                        <w:color w:val="000000"/>
                      </w:rPr>
                      <w:t>Adjustment</w:t>
                    </w:r>
                  </w:p>
                </w:txbxContent>
              </v:textbox>
            </v:rect>
            <v:shape id="Straight Arrow Connector 27" o:spid="_x0000_s1176" type="#_x0000_t32" style="position:absolute;left:7184;top:7039;width:0;height:263;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177" type="#_x0000_t32" style="position:absolute;left:3909;top:6780;width:1902;height:6;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178" type="#_x0000_t202" style="position:absolute;left:7722;top:2717;width:2278;height:51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B225F2" w:rsidRDefault="00B225F2" w:rsidP="00B225F2">
                    <w:pPr>
                      <w:pStyle w:val="NormalWeb"/>
                      <w:spacing w:before="0" w:beforeAutospacing="0" w:after="0" w:afterAutospacing="0"/>
                      <w:jc w:val="center"/>
                    </w:pPr>
                    <w:r w:rsidRPr="00B225F2">
                      <w:rPr>
                        <w:b/>
                        <w:bCs/>
                        <w:color w:val="000000" w:themeColor="dark1"/>
                      </w:rPr>
                      <w:t>Genetic algorithm</w:t>
                    </w:r>
                  </w:p>
                </w:txbxContent>
              </v:textbox>
            </v:shape>
          </v:group>
        </w:pict>
      </w: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5211DB" w:rsidRDefault="000E3114" w:rsidP="007E2C18">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(thực hiện</w:t>
      </w:r>
      <w:r w:rsidR="00120586">
        <w:rPr>
          <w:rFonts w:ascii="Times New Roman" w:hAnsi="Times New Roman" w:cs="Times New Roman"/>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120586">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120586">
        <w:rPr>
          <w:rFonts w:ascii="Times New Roman" w:eastAsia="Times New Roman" w:hAnsi="Times New Roman" w:cs="Times New Roman"/>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w:t>
      </w:r>
      <w:r w:rsidR="00891F0B">
        <w:rPr>
          <w:rFonts w:ascii="Times New Roman" w:hAnsi="Times New Roman" w:cs="Times New Roman" w:hint="eastAsia"/>
          <w:color w:val="222222"/>
          <w:sz w:val="24"/>
          <w:szCs w:val="24"/>
        </w:rPr>
        <w:t xml:space="preserve">khi sinh ra các cá thể </w:t>
      </w:r>
      <w:r w:rsidR="005E1334">
        <w:rPr>
          <w:rFonts w:ascii="Times New Roman" w:hAnsi="Times New Roman" w:cs="Times New Roman" w:hint="eastAsia"/>
          <w:color w:val="222222"/>
          <w:sz w:val="24"/>
          <w:szCs w:val="24"/>
        </w:rPr>
        <w:t>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195EE7" w:rsidP="005F38D8">
      <w:pPr>
        <w:rPr>
          <w:rFonts w:ascii="Times New Roman" w:hAnsi="Times New Roman" w:cs="Times New Roman"/>
          <w:b/>
          <w:color w:val="222222"/>
          <w:sz w:val="24"/>
          <w:szCs w:val="24"/>
        </w:rPr>
      </w:pPr>
      <w:r w:rsidRPr="00195EE7">
        <w:rPr>
          <w:rFonts w:ascii="Times New Roman" w:eastAsia="Times New Roman" w:hAnsi="Times New Roman" w:cs="Times New Roman"/>
          <w:b/>
          <w:noProof/>
          <w:color w:val="222222"/>
          <w:sz w:val="24"/>
          <w:szCs w:val="24"/>
        </w:rPr>
        <w:pict>
          <v:shape id="_x0000_s1030" type="#_x0000_t202" style="position:absolute;margin-left:17.3pt;margin-top:5.1pt;width:456.6pt;height:110.8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65263" w:rsidRDefault="00565263" w:rsidP="005F38D8">
      <w:pPr>
        <w:rPr>
          <w:rFonts w:ascii="Times New Roman" w:hAnsi="Times New Roman" w:cs="Times New Roman"/>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lastRenderedPageBreak/>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09544D" w:rsidRDefault="000646D4" w:rsidP="00FE0DF8">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w:t>
            </w:r>
            <w:r w:rsidR="0009544D">
              <w:rPr>
                <w:rFonts w:ascii="Times New Roman" w:hAnsi="Times New Roman" w:cs="Times New Roman" w:hint="eastAsia"/>
                <w:color w:val="000000"/>
                <w:sz w:val="24"/>
                <w:szCs w:val="24"/>
              </w:rPr>
              <w:t>iều kiện cần điều chỉnh</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 xml:space="preserve">accepts three </w:t>
      </w:r>
      <w:r w:rsidR="000646D4" w:rsidRPr="00620AE6">
        <w:rPr>
          <w:rFonts w:ascii="Times New Roman" w:hAnsi="Times New Roman" w:cs="Times New Roman" w:hint="eastAsia"/>
          <w:color w:val="222222"/>
          <w:sz w:val="24"/>
          <w:szCs w:val="24"/>
        </w:rPr>
        <w:t xml:space="preserve">numbers </w:t>
      </w:r>
      <w:r w:rsidR="00620AE6" w:rsidRPr="00620AE6">
        <w:rPr>
          <w:rFonts w:ascii="Times New Roman" w:hAnsi="Times New Roman" w:cs="Times New Roman" w:hint="eastAsia"/>
          <w:color w:val="222222"/>
          <w:sz w:val="24"/>
          <w:szCs w:val="24"/>
        </w:rPr>
        <w:t>representing sides of atriangle,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lastRenderedPageBreak/>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xml:space="preserve">+ Phân tích kết quả: Phân tích chỉ ra GA không có khả năng phủ được các đường dẫn khó (có </w:t>
      </w:r>
      <w:r w:rsidR="00CE7CCA">
        <w:rPr>
          <w:rFonts w:ascii="Times New Roman" w:hAnsi="Times New Roman" w:cs="Times New Roman" w:hint="eastAsia"/>
          <w:color w:val="222222"/>
          <w:sz w:val="24"/>
          <w:szCs w:val="24"/>
          <w:highlight w:val="lightGray"/>
        </w:rPr>
        <w:t>xác suất sinh test data phủ được là thấp</w:t>
      </w:r>
      <w:r w:rsidR="00BF044E" w:rsidRPr="00AE7FA5">
        <w:rPr>
          <w:rFonts w:ascii="Times New Roman" w:eastAsia="Times New Roman" w:hAnsi="Times New Roman" w:cs="Times New Roman"/>
          <w:color w:val="222222"/>
          <w:sz w:val="24"/>
          <w:szCs w:val="24"/>
          <w:highlight w:val="lightGray"/>
        </w:rPr>
        <w:t xml:space="preserve">),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224BEA" w:rsidRDefault="00224BE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bookmarkStart w:id="0" w:name="_GoBack"/>
      <w:bookmarkEnd w:id="0"/>
      <w:r w:rsidRPr="004B026B">
        <w:rPr>
          <w:rFonts w:ascii="Times New Roman" w:eastAsia="Times New Roman" w:hAnsi="Times New Roman" w:cs="Times New Roman"/>
          <w:b/>
          <w:color w:val="222222"/>
          <w:sz w:val="24"/>
          <w:szCs w:val="24"/>
        </w:rPr>
        <w:lastRenderedPageBreak/>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24AED"/>
    <w:rsid w:val="0003009A"/>
    <w:rsid w:val="00036B17"/>
    <w:rsid w:val="00043C94"/>
    <w:rsid w:val="000522DB"/>
    <w:rsid w:val="000579B5"/>
    <w:rsid w:val="000646D4"/>
    <w:rsid w:val="0007110A"/>
    <w:rsid w:val="00092273"/>
    <w:rsid w:val="000922BE"/>
    <w:rsid w:val="0009544D"/>
    <w:rsid w:val="000A6249"/>
    <w:rsid w:val="000A7C7A"/>
    <w:rsid w:val="000B2889"/>
    <w:rsid w:val="000B5D97"/>
    <w:rsid w:val="000D3820"/>
    <w:rsid w:val="000D6389"/>
    <w:rsid w:val="000E1C31"/>
    <w:rsid w:val="000E3114"/>
    <w:rsid w:val="000E4307"/>
    <w:rsid w:val="000F207E"/>
    <w:rsid w:val="000F654E"/>
    <w:rsid w:val="00100605"/>
    <w:rsid w:val="00120586"/>
    <w:rsid w:val="00122062"/>
    <w:rsid w:val="0013255C"/>
    <w:rsid w:val="00134935"/>
    <w:rsid w:val="00137132"/>
    <w:rsid w:val="00146045"/>
    <w:rsid w:val="001532F4"/>
    <w:rsid w:val="001670A5"/>
    <w:rsid w:val="00167D30"/>
    <w:rsid w:val="00173F49"/>
    <w:rsid w:val="00186E47"/>
    <w:rsid w:val="00195EE7"/>
    <w:rsid w:val="0019768D"/>
    <w:rsid w:val="001B0EAB"/>
    <w:rsid w:val="001C664B"/>
    <w:rsid w:val="001D53F4"/>
    <w:rsid w:val="001E541C"/>
    <w:rsid w:val="002007F7"/>
    <w:rsid w:val="00224BEA"/>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C70AF"/>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D0FE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6FF6"/>
    <w:rsid w:val="004F4E09"/>
    <w:rsid w:val="00502F24"/>
    <w:rsid w:val="00506AF3"/>
    <w:rsid w:val="005116AB"/>
    <w:rsid w:val="00514B2D"/>
    <w:rsid w:val="005211DB"/>
    <w:rsid w:val="00527E76"/>
    <w:rsid w:val="00531E99"/>
    <w:rsid w:val="00533C48"/>
    <w:rsid w:val="00565263"/>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0E8B"/>
    <w:rsid w:val="00731709"/>
    <w:rsid w:val="00733E15"/>
    <w:rsid w:val="0073760F"/>
    <w:rsid w:val="00743D0E"/>
    <w:rsid w:val="00747278"/>
    <w:rsid w:val="0075194F"/>
    <w:rsid w:val="007538C4"/>
    <w:rsid w:val="00770A0E"/>
    <w:rsid w:val="00775262"/>
    <w:rsid w:val="007772B8"/>
    <w:rsid w:val="00777571"/>
    <w:rsid w:val="007808CD"/>
    <w:rsid w:val="0078627D"/>
    <w:rsid w:val="00793932"/>
    <w:rsid w:val="007A484F"/>
    <w:rsid w:val="007A4C7E"/>
    <w:rsid w:val="007C529B"/>
    <w:rsid w:val="007E2C18"/>
    <w:rsid w:val="007E78AF"/>
    <w:rsid w:val="007F400C"/>
    <w:rsid w:val="007F61FE"/>
    <w:rsid w:val="007F7B79"/>
    <w:rsid w:val="00807C3A"/>
    <w:rsid w:val="0081076F"/>
    <w:rsid w:val="008246B2"/>
    <w:rsid w:val="00826941"/>
    <w:rsid w:val="008720C4"/>
    <w:rsid w:val="00887795"/>
    <w:rsid w:val="00891F0B"/>
    <w:rsid w:val="008A02A7"/>
    <w:rsid w:val="008A658F"/>
    <w:rsid w:val="008B226C"/>
    <w:rsid w:val="008B2C7A"/>
    <w:rsid w:val="008B7E51"/>
    <w:rsid w:val="008C054C"/>
    <w:rsid w:val="008D41C8"/>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B6899"/>
    <w:rsid w:val="00AC22C1"/>
    <w:rsid w:val="00AC7DDB"/>
    <w:rsid w:val="00AE1F92"/>
    <w:rsid w:val="00AE5EF8"/>
    <w:rsid w:val="00AE7FA5"/>
    <w:rsid w:val="00B225F2"/>
    <w:rsid w:val="00B44EF3"/>
    <w:rsid w:val="00B5079F"/>
    <w:rsid w:val="00B50860"/>
    <w:rsid w:val="00B60754"/>
    <w:rsid w:val="00B63A3D"/>
    <w:rsid w:val="00B70477"/>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91F8F"/>
    <w:rsid w:val="00CA1F86"/>
    <w:rsid w:val="00CA2766"/>
    <w:rsid w:val="00CC3D33"/>
    <w:rsid w:val="00CC697B"/>
    <w:rsid w:val="00CC751B"/>
    <w:rsid w:val="00CD344E"/>
    <w:rsid w:val="00CE5B11"/>
    <w:rsid w:val="00CE7CCA"/>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1368"/>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Straight Arrow Connector 10">
          <o:proxy start="" idref="#Flowchart: Document 5" connectloc="2"/>
          <o:proxy end="" idref="#Rectangle 6" connectloc="0"/>
        </o:r>
        <o:r id="V:Rule14" type="connector" idref="#Straight Arrow Connector 12">
          <o:proxy end="" idref="#Rectangle 8" connectloc="0"/>
        </o:r>
        <o:r id="V:Rule15" type="connector" idref="#Straight Arrow Connector 11">
          <o:proxy start="" idref="#Rectangle 6" connectloc="2"/>
          <o:proxy end="" idref="#Rectangle 7" connectloc="0"/>
        </o:r>
        <o:r id="V:Rule16" type="connector" idref="#Straight Arrow Connector 20">
          <o:proxy start="" idref="#Rectangle 16" connectloc="2"/>
          <o:proxy end="" idref="#Rectangle 17" connectloc="0"/>
        </o:r>
        <o:r id="V:Rule17" type="connector" idref="#Straight Arrow Connector 19">
          <o:proxy start="" idref="#Rectangle 15" connectloc="2"/>
          <o:proxy end="" idref="#Rectangle 16" connectloc="0"/>
        </o:r>
        <o:r id="V:Rule18" type="connector" idref="#Straight Arrow Connector 13">
          <o:proxy start="" idref="#Rectangle 8" connectloc="2"/>
          <o:proxy end="" idref="#Rectangle 9" connectloc="0"/>
        </o:r>
        <o:r id="V:Rule19" type="connector" idref="#Straight Arrow Connector 18">
          <o:proxy start="" idref="#Rectangle 14" connectloc="2"/>
          <o:proxy end="" idref="#Rectangle 15" connectloc="0"/>
        </o:r>
        <o:r id="V:Rule20" type="connector" idref="#Straight Arrow Connector 24">
          <o:proxy start="" idref="#Flowchart: Decision 21" connectloc="2"/>
          <o:proxy end="" idref="#Flowchart: Terminator 25" connectloc="0"/>
        </o:r>
        <o:r id="V:Rule21" type="connector" idref="#Straight Arrow Connector 27">
          <o:proxy start="" idref="#Rectangle 26" connectloc="2"/>
          <o:proxy end="" idref="#Flowchart: Decision 21" connectloc="0"/>
        </o:r>
        <o:r id="V:Rule22" type="connector" idref="#Straight Arrow Connector 28">
          <o:proxy start="" idref="#Rectangle 9" connectloc="3"/>
          <o:proxy end="" idref="#Rectangle 26" connectloc="1"/>
        </o:r>
        <o:r id="V:Rule23" type="connector" idref="#Straight Arrow Connector 22">
          <o:proxy start="" idref="#Rectangle 17" connectloc="2"/>
          <o:proxy end="" idref="#Rectangle 26" connectloc="0"/>
        </o:r>
        <o:r id="V:Rule24" type="connector" idref="#Elbow Connector 23">
          <o:proxy start="" idref="#Flowchart: Decision 21" connectloc="3"/>
          <o:proxy end="" idref="#Rectangle 1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7B02"/>
    <w:rPr>
      <w:color w:val="808080"/>
    </w:rPr>
  </w:style>
  <w:style w:type="paragraph" w:styleId="NormalWeb">
    <w:name w:val="Normal (Web)"/>
    <w:basedOn w:val="Normal"/>
    <w:uiPriority w:val="99"/>
    <w:semiHidden/>
    <w:unhideWhenUsed/>
    <w:rsid w:val="00B225F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CF883-F7FB-41F4-9431-BE977E61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8</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309</cp:revision>
  <cp:lastPrinted>2016-06-05T09:37:00Z</cp:lastPrinted>
  <dcterms:created xsi:type="dcterms:W3CDTF">2016-05-23T16:46:00Z</dcterms:created>
  <dcterms:modified xsi:type="dcterms:W3CDTF">2016-06-05T16:53:00Z</dcterms:modified>
</cp:coreProperties>
</file>