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12</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18. TRÒ CHƠI DÂN GIAN</w:t>
        <w:br/>
      </w:r>
      <w:r>
        <w:rPr>
          <w:rFonts w:ascii="Times New Roman" w:hAnsi="Times New Roman"/>
          <w:b w:val="0"/>
          <w:i/>
          <w:sz w:val="24"/>
        </w:rPr>
        <w:t>(Thời lượng: 1 tiết | Tiết PPCT: 23)</w:t>
      </w:r>
    </w:p>
    <w:p>
      <w:r>
        <w:rPr>
          <w:rFonts w:ascii="Times New Roman" w:hAnsi="Times New Roman"/>
          <w:b/>
          <w:i w:val="0"/>
          <w:sz w:val="26"/>
        </w:rPr>
        <w:t>I. YÊU CẦU CẦN ĐẠT</w:t>
      </w:r>
    </w:p>
    <w:p>
      <w:r>
        <w:rPr>
          <w:rFonts w:ascii="Times New Roman" w:hAnsi="Times New Roman"/>
          <w:b w:val="0"/>
          <w:i/>
          <w:sz w:val="26"/>
        </w:rPr>
        <w:t>Mô tả yêu cầu trọng tâm: Tìm hiểu kỹ thuật tâng cầu; lắp mô hình trò chơi dân gian.</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18. Trò chơi dân gian,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18. Trò chơi dân gian,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18. Trò chơi dân gian.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18. Trò chơi dân gian.</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18. Trò chơi dân gian.</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18. Trò chơi dân gian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18. Trò chơi dân gian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18. Trò chơi dân gian.</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