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24. ĐÔI CHÂN MẠNH MẼ CỦA CHUỘT TÚI</w:t>
        <w:br/>
      </w:r>
      <w:r>
        <w:rPr>
          <w:rFonts w:ascii="Times New Roman" w:hAnsi="Times New Roman"/>
          <w:b w:val="0"/>
          <w:i/>
          <w:sz w:val="24"/>
        </w:rPr>
        <w:t>(Thời lượng: 1 tiết | Tiết PPCT: 31)</w:t>
      </w:r>
    </w:p>
    <w:p>
      <w:r>
        <w:rPr>
          <w:rFonts w:ascii="Times New Roman" w:hAnsi="Times New Roman"/>
          <w:b/>
          <w:i w:val="0"/>
          <w:sz w:val="26"/>
        </w:rPr>
        <w:t>I. YÊU CẦU CẦN ĐẠT</w:t>
      </w:r>
    </w:p>
    <w:p>
      <w:r>
        <w:rPr>
          <w:rFonts w:ascii="Times New Roman" w:hAnsi="Times New Roman"/>
          <w:b w:val="0"/>
          <w:i/>
          <w:sz w:val="26"/>
        </w:rPr>
        <w:t>Mô tả yêu cầu trọng tâm: Tìm hiểu cơ chế chuột túi nhảy cao; lắp robot chuột túi.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24. Đôi chân mạnh mẽ của chuột túi,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24. Đôi chân mạnh mẽ của chuột túi,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24. Đôi chân mạnh mẽ của chuột túi.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24. Đôi chân mạnh mẽ của chuột túi.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24. Đôi chân mạnh mẽ của chuột túi.</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24. Đôi chân mạnh mẽ của chuột túi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24. Đôi chân mạnh mẽ của chuột túi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24. Đôi chân mạnh mẽ của chuột túi.</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