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TIẾT 0: ĐỊNH HƯỚNG MÔN HỌC</w:t>
        <w:br/>
      </w:r>
      <w:r>
        <w:rPr>
          <w:rFonts w:ascii="Times New Roman" w:hAnsi="Times New Roman"/>
          <w:b w:val="0"/>
          <w:i/>
          <w:sz w:val="24"/>
        </w:rPr>
        <w:t>(Thời lượng: 1 tiết | Tiết PPCT: 1)</w:t>
      </w:r>
    </w:p>
    <w:p>
      <w:r>
        <w:rPr>
          <w:rFonts w:ascii="Times New Roman" w:hAnsi="Times New Roman"/>
          <w:b/>
          <w:i w:val="0"/>
          <w:sz w:val="26"/>
        </w:rPr>
        <w:t>I. YÊU CẦU CẦN ĐẠT</w:t>
      </w:r>
    </w:p>
    <w:p>
      <w:r>
        <w:rPr>
          <w:rFonts w:ascii="Times New Roman" w:hAnsi="Times New Roman"/>
          <w:b w:val="0"/>
          <w:i/>
          <w:sz w:val="26"/>
        </w:rPr>
        <w:t>Mô tả yêu cầu trọng tâm: Giới thiệu tổng quan môn học Robotics, phương pháp học tập thực hành, quy trình làm việc nhóm, an toàn sử dụng thiết bị và nội quy phòng học bộ môn.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Tiết 0: Định hướng môn học,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Tiết 0: Định hướng môn học,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Tiết 0: Định hướng môn học. Đặt câu hỏi gợi mở kiến thức.</w:t>
              <w:br/>
              <w:t>b) Thực hiện nhiệm vụ: GV quan sát, khơi gợi trí tò mò của HS.</w:t>
              <w:br/>
              <w:t>c) Báo cáo: Mời 2-3 đại diện HS trả lời câu hỏi.</w:t>
              <w:br/>
              <w:t>d) Kết luận: GV chốt nội dung, dẫn dắt giới thiệu bài học Tiết 0: Định hướng môn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Tiết 0: Định hướng môn học.</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Tiết 0: Định hướng môn học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Tiết 0: Định hướng môn học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Tiết 0: Định hướng môn học.</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