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20. CÙNG NHAU THAM QUAN THÀNH PHỐ</w:t>
        <w:br/>
      </w:r>
      <w:r>
        <w:rPr>
          <w:rFonts w:ascii="Times New Roman" w:hAnsi="Times New Roman"/>
          <w:b w:val="0"/>
          <w:i/>
          <w:sz w:val="24"/>
        </w:rPr>
        <w:t>(Thời lượng: 1 tiết | Tiết PPCT: 25)</w:t>
      </w:r>
    </w:p>
    <w:p>
      <w:r>
        <w:rPr>
          <w:rFonts w:ascii="Times New Roman" w:hAnsi="Times New Roman"/>
          <w:b/>
          <w:i w:val="0"/>
          <w:sz w:val="26"/>
        </w:rPr>
        <w:t>I. YÊU CẦU CẦN ĐẠT</w:t>
      </w:r>
    </w:p>
    <w:p>
      <w:r>
        <w:rPr>
          <w:rFonts w:ascii="Times New Roman" w:hAnsi="Times New Roman"/>
          <w:b w:val="0"/>
          <w:i/>
          <w:sz w:val="26"/>
        </w:rPr>
        <w:t>Mô tả yêu cầu trọng tâm: Tìm hiểu phương tiện giao thông công cộng; lắp robot xe buýt.</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20. Cùng nhau tham quan thành phố,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20. Cùng nhau tham quan thành phố,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20. Cùng nhau tham quan thành phố.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20. Cùng nhau tham quan thành phố.</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20. Cùng nhau tham quan thành phố.</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20. Cùng nhau tham quan thành phố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20. Cùng nhau tham quan thành phố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20. Cùng nhau tham quan thành phố.</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