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21. KHÁM PHÁ TRANG PHỤC NGƯỜI DA ĐỎ</w:t>
        <w:br/>
      </w:r>
      <w:r>
        <w:rPr>
          <w:rFonts w:ascii="Times New Roman" w:hAnsi="Times New Roman"/>
          <w:b w:val="0"/>
          <w:i/>
          <w:sz w:val="24"/>
        </w:rPr>
        <w:t>(Thời lượng: 1 tiết | Tiết PPCT: 26)</w:t>
      </w:r>
    </w:p>
    <w:p>
      <w:r>
        <w:rPr>
          <w:rFonts w:ascii="Times New Roman" w:hAnsi="Times New Roman"/>
          <w:b/>
          <w:i w:val="0"/>
          <w:sz w:val="26"/>
        </w:rPr>
        <w:t>I. YÊU CẦU CẦN ĐẠT</w:t>
      </w:r>
    </w:p>
    <w:p>
      <w:r>
        <w:rPr>
          <w:rFonts w:ascii="Times New Roman" w:hAnsi="Times New Roman"/>
          <w:b w:val="0"/>
          <w:i/>
          <w:sz w:val="26"/>
        </w:rPr>
        <w:t>Mô tả yêu cầu trọng tâm: Tìm hiểu văn hóa và điệu nhảy truyền thống; lắp robot nhảy múa.</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21. Khám phá trang phục người da đỏ,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21. Khám phá trang phục người da đỏ,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21. Khám phá trang phục người da đỏ.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21. Khám phá trang phục người da đỏ.</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21. Khám phá trang phục người da đỏ.</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21. Khám phá trang phục người da đỏ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21. Khám phá trang phục người da đỏ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21. Khám phá trang phục người da đỏ.</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