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7</w:t>
            </w:r>
          </w:p>
        </w:tc>
      </w:tr>
    </w:tbl>
    <w:p/>
    <w:p>
      <w:pPr>
        <w:jc w:val="center"/>
      </w:pPr>
      <w:r>
        <w:rPr>
          <w:rFonts w:ascii="Times New Roman" w:hAnsi="Times New Roman"/>
          <w:b/>
          <w:i w:val="0"/>
          <w:sz w:val="28"/>
        </w:rPr>
        <w:t>TÊN BÀI DẠY: TIẾT 0: ĐỊNH HƯỚNG MÔN HỌC</w:t>
        <w:br/>
      </w:r>
      <w:r>
        <w:rPr>
          <w:rFonts w:ascii="Times New Roman" w:hAnsi="Times New Roman"/>
          <w:b/>
          <w:i w:val="0"/>
          <w:sz w:val="26"/>
        </w:rPr>
        <w:t>MÔN HỌC: ROBOTICS 7 (BỘ KIT OLLO EXCEL 1)</w:t>
        <w:br/>
      </w:r>
      <w:r>
        <w:rPr>
          <w:rFonts w:ascii="Times New Roman" w:hAnsi="Times New Roman"/>
          <w:b w:val="0"/>
          <w:i/>
          <w:sz w:val="24"/>
        </w:rPr>
        <w:t>Thời lượng: 1 tiết | Tiết theo PPCT: 1</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Giới thiệu tổng quan môn học Robotics, phương pháp học tập thực hành, quy trình làm việc nhóm, an toàn sử dụng thiết bị và nội quy phòng học bộ môn.</w:t>
        <w:br/>
        <w:t xml:space="preserve">  - Hiểu rõ cấu tạo nguyên lý hoạt động cơ khí, thuật toán điều khiển và các linh kiện cảm biến trong mô hình Tiết 0: Định hướng môn học.</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Tiết 0: Định hướng môn học.</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Tiết 0: Định hướng môn học.</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Tiết 0: Định hướng môn học.</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Tiết 0: Định hướng môn học.</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Tiết 0: Định hướng môn học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