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7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TỔNG KẾT MÔN HỌC &amp; TRIỂN LÃM ROBOTICS</w:t>
        <w:br/>
      </w:r>
      <w:r>
        <w:rPr>
          <w:rFonts w:ascii="Times New Roman" w:hAnsi="Times New Roman"/>
          <w:b/>
          <w:i w:val="0"/>
          <w:sz w:val="26"/>
        </w:rPr>
        <w:t>MÔN HỌC: ROBOTICS 7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24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Tổng kết đánh giá kết quả học tập và trưng bày sản phẩm Robotics.</w:t>
        <w:br/>
        <w:t xml:space="preserve">  - Hiểu rõ cấu tạo nguyên lý hoạt động cơ khí, thuật toán điều khiển và các linh kiện cảm biến trong mô hình Tổng kết môn học &amp; Triển lãm Robotics.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Tổng kết môn học &amp; Triển lãm Robotics.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Tổng kết môn học &amp; Triển lãm Robotics.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Tổng kết môn học &amp; Triển lãm Robotics.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Tổng kết môn học &amp; Triển lãm Robotics.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Tổng kết môn học &amp; Triển lãm Robotics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