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03 (từ ngày 17/08/2026 đến ngày 21/08/2026)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14 tháng 08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Buổi…sáng……..Tuần…03…(Từ ngày…17/08/2026 …đến ngày:… 21/08/2026….)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(17/08)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(18/08)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(19/08)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(20/08)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(21/08)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Động cơ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Robot cố định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14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Buổi…chiều…..Tuần…03…(Từ ngày…17/08/2026…đến ngày:… 21/08/2026….)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(17/08)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(18/08)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Động cơ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Robot cố định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(19/08)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(20/08)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(21/08)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Động cơ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Robot cố định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