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13/01/2027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18. TRÒ CHƠI DÂN GIAN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kỹ thuật tâng cầu.</w:t>
      </w:r>
    </w:p>
    <w:p>
      <w:pPr>
        <w:spacing w:line="319" w:lineRule="auto" w:after="60" w:before="0"/>
        <w:ind w:firstLine="0" w:left="850"/>
        <w:jc w:val="both"/>
      </w:pPr>
      <w:r>
        <w:rPr>
          <w:rFonts w:ascii="Times New Roman" w:hAnsi="Times New Roman" w:eastAsia="Times New Roman"/>
          <w:b w:val="0"/>
          <w:i w:val="0"/>
          <w:sz w:val="26"/>
        </w:rPr>
        <w:t>+ Lắp mô hình trò chơi dân gian.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18. Trò chơi dân gian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18. Trò chơi dân gian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18. Trò chơi dân gian,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18. Trò chơi dân gian.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18. Trò chơi dân gian.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18. Trò chơi dân gian.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18. Trò chơi dân gian.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