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06/03/2027</w:t>
            </w:r>
          </w:p>
          <w:p>
            <w:pPr>
              <w:spacing w:line="360" w:lineRule="auto" w:after="40"/>
              <w:jc w:val="left"/>
            </w:pPr>
            <w:r>
              <w:rPr>
                <w:rFonts w:ascii="Times New Roman" w:hAnsi="Times New Roman" w:eastAsia="Times New Roman"/>
                <w:b w:val="0"/>
                <w:i w:val="0"/>
                <w:sz w:val="26"/>
              </w:rPr>
              <w:t>Ngày dạy: 10/03/2027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BÀI 24. ĐÔI CHÂN MẠNH MẼ CỦA CHUỘT TÚI (Tiết: 31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cơ chế chuột túi nhảy cao.</w:t>
      </w:r>
    </w:p>
    <w:p>
      <w:pPr>
        <w:spacing w:line="319" w:lineRule="auto" w:after="60" w:before="0"/>
        <w:ind w:firstLine="0" w:left="850"/>
        <w:jc w:val="both"/>
      </w:pPr>
      <w:r>
        <w:rPr>
          <w:rFonts w:ascii="Times New Roman" w:hAnsi="Times New Roman" w:eastAsia="Times New Roman"/>
          <w:b w:val="0"/>
          <w:i w:val="0"/>
          <w:sz w:val="26"/>
        </w:rPr>
        <w:t>+ Lắp robot chuột túi.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24. Đôi chân mạnh mẽ của chuột túi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24. Đôi chân mạnh mẽ của chuột túi từ bộ kit OLLO Initiate,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Bài 24. Đôi chân mạnh mẽ của chuột túi,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24. Đôi chân mạnh mẽ của chuột túi.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24. Đôi chân mạnh mẽ của chuột túi.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24. Đôi chân mạnh mẽ của chuột túi.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24. Đôi chân mạnh mẽ của chuột túi.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