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29/08/2026</w:t>
            </w:r>
          </w:p>
          <w:p>
            <w:pPr>
              <w:spacing w:line="360" w:lineRule="auto" w:after="40"/>
              <w:jc w:val="left"/>
            </w:pPr>
            <w:r>
              <w:rPr>
                <w:rFonts w:ascii="Times New Roman" w:hAnsi="Times New Roman" w:eastAsia="Times New Roman"/>
                <w:b w:val="0"/>
                <w:i w:val="0"/>
                <w:sz w:val="26"/>
              </w:rPr>
              <w:t>Ngày dạy: 02/09/2026</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KINDER</w:t>
      </w:r>
    </w:p>
    <w:p>
      <w:pPr>
        <w:spacing w:line="360" w:lineRule="auto" w:after="60" w:before="0"/>
        <w:jc w:val="center"/>
      </w:pPr>
      <w:r>
        <w:rPr>
          <w:rFonts w:ascii="Times New Roman" w:hAnsi="Times New Roman" w:eastAsia="Times New Roman"/>
          <w:b/>
          <w:i w:val="0"/>
          <w:sz w:val="26"/>
        </w:rPr>
        <w:t>BÀI 3. SỰ PHẢN XẠ ÁNH SÁNG (Tiết: 4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Tìm hiểu hiện tượng phản xạ ánh sáng.</w:t>
      </w:r>
    </w:p>
    <w:p>
      <w:pPr>
        <w:spacing w:line="319" w:lineRule="auto" w:after="60" w:before="0"/>
        <w:ind w:firstLine="0" w:left="850"/>
        <w:jc w:val="both"/>
      </w:pPr>
      <w:r>
        <w:rPr>
          <w:rFonts w:ascii="Times New Roman" w:hAnsi="Times New Roman" w:eastAsia="Times New Roman"/>
          <w:b w:val="0"/>
          <w:i w:val="0"/>
          <w:sz w:val="26"/>
        </w:rPr>
        <w:t>+ Lắp mô hình máy ảnh.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NL1 (Nhận thức công nghệ): Nhận biết mô hình Bài 3. Sự phản xạ ánh sáng mô phỏng sự vật/hiện tượng thực tế và hiểu nguyên lý hoạt động cơ bản.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NL2 (Sử dụng công nghệ): Thực hiện lắp ráp đúng quy trình từng bước mô hình Bài 3. Sự phản xạ ánh sáng từ bộ kit OLLO Kinder, vận hành chạy thử và kiểm tra hoạt động.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1):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Kinder mẫu, máy chiếu, slide hướng dẫn lắp ráp Bài 3. Sự phản xạ ánh sáng,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Kinder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3. Sự phản xạ ánh sáng.</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Bài 3. Sự phản xạ ánh sáng.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Bài 3. Sự phản xạ ánh sáng.</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Bài 3. Sự phản xạ ánh sáng.</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