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11/09/2026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4. ĐÀN GÀ CON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sinh sản đẻ trứng của gà.</w:t>
      </w:r>
    </w:p>
    <w:p>
      <w:pPr>
        <w:spacing w:line="319" w:lineRule="auto" w:after="60" w:before="0"/>
        <w:ind w:firstLine="0" w:left="850"/>
        <w:jc w:val="both"/>
      </w:pPr>
      <w:r>
        <w:rPr>
          <w:rFonts w:ascii="Times New Roman" w:hAnsi="Times New Roman" w:eastAsia="Times New Roman"/>
          <w:b w:val="0"/>
          <w:i w:val="0"/>
          <w:sz w:val="26"/>
        </w:rPr>
        <w:t>+ Lắp robot gà mẹ và gà con.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4. Đàn gà con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4. Đàn gà con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4. Đàn gà con,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4. Đàn gà con.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4. Đàn gà con.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4. Đàn gà con.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4. Đàn gà con.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