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19/09/2026</w:t>
            </w:r>
          </w:p>
          <w:p>
            <w:pPr>
              <w:spacing w:line="360" w:lineRule="auto" w:after="40"/>
              <w:jc w:val="left"/>
            </w:pPr>
            <w:r>
              <w:rPr>
                <w:rFonts w:ascii="Times New Roman" w:hAnsi="Times New Roman" w:eastAsia="Times New Roman"/>
                <w:b w:val="0"/>
                <w:i w:val="0"/>
                <w:sz w:val="26"/>
              </w:rPr>
              <w:t>Ngày dạy: 25/09/2026</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6. ĐỘNG VẬT THÂN MỀM (Tiết: 7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chuyển động động vật thân mềm.</w:t>
      </w:r>
    </w:p>
    <w:p>
      <w:pPr>
        <w:spacing w:line="319" w:lineRule="auto" w:after="60" w:before="0"/>
        <w:ind w:firstLine="0" w:left="850"/>
        <w:jc w:val="both"/>
      </w:pPr>
      <w:r>
        <w:rPr>
          <w:rFonts w:ascii="Times New Roman" w:hAnsi="Times New Roman" w:eastAsia="Times New Roman"/>
          <w:b w:val="0"/>
          <w:i w:val="0"/>
          <w:sz w:val="26"/>
        </w:rPr>
        <w:t>+ Lắp robot ốc/mực.</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NL4 (Đánh giá công nghệ): Quan sát, đo đạc thông số và đánh giá hiệu quả vận hành của mô hình robot Bài 6. Động vật thân mềm trong các điều kiện thử nghiệm khác nhau. (Đạt được thông qua Hoạt động 3, Hoạt động 4)</w:t>
      </w:r>
    </w:p>
    <w:p>
      <w:pPr>
        <w:spacing w:line="319" w:lineRule="auto" w:after="60" w:before="0"/>
        <w:ind w:firstLine="0" w:left="850"/>
        <w:jc w:val="both"/>
      </w:pPr>
      <w:r>
        <w:rPr>
          <w:rFonts w:ascii="Times New Roman" w:hAnsi="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6. Động vật thân mềm,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6. Động vật thân mềm.</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6. Động vật thân mềm.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6. Động vật thân mềm.</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6. Động vật thân mềm.</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