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02/10/2026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7. KHU PHỐ CỦA CHÚNG TA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cảnh quan đô thị và bảo vệ môi trường.</w:t>
      </w:r>
    </w:p>
    <w:p>
      <w:pPr>
        <w:spacing w:line="319" w:lineRule="auto" w:after="60" w:before="0"/>
        <w:ind w:firstLine="0" w:left="850"/>
        <w:jc w:val="both"/>
      </w:pPr>
      <w:r>
        <w:rPr>
          <w:rFonts w:ascii="Times New Roman" w:hAnsi="Times New Roman" w:eastAsia="Times New Roman"/>
          <w:b w:val="0"/>
          <w:i w:val="0"/>
          <w:sz w:val="26"/>
        </w:rPr>
        <w:t>+ Lắp robot dọn dẹp.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7. Khu phố của chúng ta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7. Khu phố của chúng ta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7. Khu phố của chúng ta,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7. Khu phố của chúng ta.</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7. Khu phố của chúng ta.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7. Khu phố của chúng ta.</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7. Khu phố của chúng ta.</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