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02/01/2027</w:t>
            </w:r>
          </w:p>
          <w:p>
            <w:pPr>
              <w:spacing w:line="360" w:lineRule="auto" w:after="40"/>
              <w:jc w:val="left"/>
            </w:pPr>
            <w:r>
              <w:rPr>
                <w:rFonts w:ascii="Times New Roman" w:hAnsi="Times New Roman" w:eastAsia="Times New Roman"/>
                <w:b w:val="0"/>
                <w:i w:val="0"/>
                <w:sz w:val="26"/>
              </w:rPr>
              <w:t>Ngày dạy: 08/01/2027</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17. NHẮM VÀ BẮN! (Tiết: 22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lực ném và cơ cấu máy bắn đá.</w:t>
      </w:r>
    </w:p>
    <w:p>
      <w:pPr>
        <w:spacing w:line="319" w:lineRule="auto" w:after="60" w:before="0"/>
        <w:ind w:firstLine="0" w:left="850"/>
        <w:jc w:val="both"/>
      </w:pPr>
      <w:r>
        <w:rPr>
          <w:rFonts w:ascii="Times New Roman" w:hAnsi="Times New Roman" w:eastAsia="Times New Roman"/>
          <w:b w:val="0"/>
          <w:i w:val="0"/>
          <w:sz w:val="26"/>
        </w:rPr>
        <w:t>+ Lắp robot bắn đá.</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NL4 (Đánh giá công nghệ): Quan sát, đo đạc thông số và đánh giá hiệu quả vận hành của mô hình robot Bài 17. Nhắm và bắn! trong các điều kiện thử nghiệm khác nhau. (Đạt được thông qua Hoạt động 3, Hoạt động 4)</w:t>
      </w:r>
    </w:p>
    <w:p>
      <w:pPr>
        <w:spacing w:line="319" w:lineRule="auto" w:after="60" w:before="0"/>
        <w:ind w:firstLine="0" w:left="850"/>
        <w:jc w:val="both"/>
      </w:pPr>
      <w:r>
        <w:rPr>
          <w:rFonts w:ascii="Times New Roman" w:hAnsi="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17. Nhắm và bắn!,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17. Nhắm và bắn!.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17. Nhắm và bắn!.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17. Nhắm và bắn!.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17. Nhắm và bắn!.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