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29/01/2027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20. CÙNG NHAU THAM QUAN THÀNH PHỐ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phương tiện giao thông công cộng.</w:t>
      </w:r>
    </w:p>
    <w:p>
      <w:pPr>
        <w:spacing w:line="319" w:lineRule="auto" w:after="60" w:before="0"/>
        <w:ind w:firstLine="0" w:left="850"/>
        <w:jc w:val="both"/>
      </w:pPr>
      <w:r>
        <w:rPr>
          <w:rFonts w:ascii="Times New Roman" w:hAnsi="Times New Roman" w:eastAsia="Times New Roman"/>
          <w:b w:val="0"/>
          <w:i w:val="0"/>
          <w:sz w:val="26"/>
        </w:rPr>
        <w:t>+ Lắp robot xe buýt.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20. Cùng nhau tham quan thành phố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20. Cùng nhau tham quan thành phố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20. Cùng nhau tham quan thành phố,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20. Cùng nhau tham quan thành phố.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20. Cùng nhau tham quan thành phố.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20. Cùng nhau tham quan thành phố.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20. Cùng nhau tham quan thành phố.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