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28/11/2026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04/12/2026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3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18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 đánh giá kết quả học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3.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Đánh giá định kỳ 3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Đánh giá định kỳ 3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