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19/09/2026</w:t>
            </w:r>
          </w:p>
          <w:p>
            <w:pPr>
              <w:spacing w:line="276" w:lineRule="auto" w:after="40"/>
              <w:jc w:val="left"/>
            </w:pPr>
            <w:r>
              <w:rPr>
                <w:rFonts w:ascii="Times New Roman" w:hAnsi="Times New Roman" w:eastAsia="Times New Roman"/>
                <w:b w:val="0"/>
                <w:i w:val="0"/>
                <w:sz w:val="26"/>
              </w:rPr>
              <w:t>Ngày dạy: 22/09/2026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LÀM QUEN VỚI PHẦN MỀM BẢNG TÍNH</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Nhận biết khái niệm/chức năng cơ bản của phần mềm bảng tính.</w:t>
      </w:r>
    </w:p>
    <w:p>
      <w:pPr>
        <w:spacing w:line="276" w:lineRule="auto" w:after="60" w:before="0"/>
        <w:ind w:firstLine="0" w:left="850"/>
        <w:jc w:val="both"/>
      </w:pPr>
      <w:r>
        <w:rPr>
          <w:rFonts w:ascii="Times New Roman" w:hAnsi="Times New Roman" w:eastAsia="Times New Roman"/>
          <w:b w:val="0"/>
          <w:i w:val="0"/>
          <w:sz w:val="26"/>
        </w:rPr>
        <w:t>- Nhập, điều chỉnh dữ liệu đơn giản; thay đổi phông chữ, màu nền, căn chỉnh ô tính, độ rộng cột.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6. Làm quen với phần mềm bảng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6. Làm quen với phần mềm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Làm quen với phần mềm bảng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6. Làm quen với phần mềm bảng tính.</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Làm quen với phần mềm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6. Làm quen với phần mềm bảng tính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6. Làm quen với phần mềm bảng tính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