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14/11/2026</w:t>
            </w:r>
          </w:p>
          <w:p>
            <w:pPr>
              <w:spacing w:line="276" w:lineRule="auto" w:after="40"/>
              <w:jc w:val="left"/>
            </w:pPr>
            <w:r>
              <w:rPr>
                <w:rFonts w:ascii="Times New Roman" w:hAnsi="Times New Roman" w:eastAsia="Times New Roman"/>
                <w:b w:val="0"/>
                <w:i w:val="0"/>
                <w:sz w:val="26"/>
              </w:rPr>
              <w:t>Ngày dạy: 17/11/2026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12. ĐỊNH DẠNG ĐỐI TƯỢNG TRÊN TRANG CHIẾU</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16</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Sao chép dữ liệu từ tệp văn bản sang trang chiếu; chèn hình ảnh minh họa.</w:t>
      </w:r>
    </w:p>
    <w:p>
      <w:pPr>
        <w:spacing w:line="276" w:lineRule="auto" w:after="60" w:before="0"/>
        <w:ind w:firstLine="0" w:left="850"/>
        <w:jc w:val="both"/>
      </w:pPr>
      <w:r>
        <w:rPr>
          <w:rFonts w:ascii="Times New Roman" w:hAnsi="Times New Roman" w:eastAsia="Times New Roman"/>
          <w:b w:val="0"/>
          <w:i w:val="0"/>
          <w:sz w:val="26"/>
        </w:rPr>
        <w:t>- Định dạng văn bản, ảnh minh họa hợp lý.</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12. Định dạng đối tượng trên trang chiếu.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12. Định dạng đối tượng trên trang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12. Định dạng đối tượng trên trang chiếu.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12. Định dạng đối tượng trên trang chiếu.</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12. Định dạng đối tượng trên trang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12. Định dạng đối tượng trên trang chiếu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12. Định dạng đối tượng trên trang chiếu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